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943" w:rsidRPr="00C07943" w:rsidRDefault="00C07943" w:rsidP="00C07943">
      <w:pPr>
        <w:spacing w:before="288" w:after="72" w:line="240" w:lineRule="atLeast"/>
        <w:outlineLvl w:val="1"/>
        <w:rPr>
          <w:rFonts w:ascii="Verdana" w:eastAsia="Times New Roman" w:hAnsi="Verdana" w:cs="Times New Roman"/>
          <w:b/>
          <w:bCs/>
          <w:color w:val="222222"/>
          <w:sz w:val="54"/>
          <w:szCs w:val="54"/>
        </w:rPr>
      </w:pPr>
      <w:r w:rsidRPr="00C07943">
        <w:rPr>
          <w:rFonts w:ascii="Verdana" w:eastAsia="Times New Roman" w:hAnsi="Verdana" w:cs="Times New Roman"/>
          <w:b/>
          <w:bCs/>
          <w:color w:val="222222"/>
          <w:sz w:val="54"/>
          <w:szCs w:val="54"/>
        </w:rPr>
        <w:t>The Village That Inspired Tagore</w:t>
      </w:r>
    </w:p>
    <w:p w:rsidR="00C07943" w:rsidRPr="00C07943" w:rsidRDefault="00C07943" w:rsidP="00C07943">
      <w:pPr>
        <w:spacing w:before="192" w:after="192" w:line="365" w:lineRule="atLeast"/>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 xml:space="preserve">Rabindranath Tagore often holidayed in </w:t>
      </w:r>
      <w:proofErr w:type="spellStart"/>
      <w:r w:rsidRPr="00C07943">
        <w:rPr>
          <w:rFonts w:ascii="Verdana" w:eastAsia="Times New Roman" w:hAnsi="Verdana" w:cs="Times New Roman"/>
          <w:color w:val="111111"/>
          <w:sz w:val="23"/>
          <w:szCs w:val="23"/>
        </w:rPr>
        <w:t>Mongpu</w:t>
      </w:r>
      <w:proofErr w:type="spellEnd"/>
      <w:r w:rsidRPr="00C07943">
        <w:rPr>
          <w:rFonts w:ascii="Verdana" w:eastAsia="Times New Roman" w:hAnsi="Verdana" w:cs="Times New Roman"/>
          <w:color w:val="111111"/>
          <w:sz w:val="23"/>
          <w:szCs w:val="23"/>
        </w:rPr>
        <w:t>, a quiet Himalayan village about 1.5hr from Darjeeling, during the last three years of his life. So it was only natural that </w:t>
      </w:r>
      <w:r w:rsidRPr="00C07943">
        <w:rPr>
          <w:rFonts w:ascii="Verdana" w:eastAsia="Times New Roman" w:hAnsi="Verdana" w:cs="Times New Roman"/>
          <w:b/>
          <w:bCs/>
          <w:i/>
          <w:iCs/>
          <w:color w:val="111111"/>
          <w:sz w:val="23"/>
          <w:szCs w:val="23"/>
        </w:rPr>
        <w:t>photographer</w:t>
      </w:r>
      <w:r w:rsidRPr="00C07943">
        <w:rPr>
          <w:rFonts w:ascii="Verdana" w:eastAsia="Times New Roman" w:hAnsi="Verdana" w:cs="Times New Roman"/>
          <w:i/>
          <w:iCs/>
          <w:color w:val="111111"/>
          <w:sz w:val="23"/>
          <w:szCs w:val="23"/>
        </w:rPr>
        <w:t> </w:t>
      </w:r>
      <w:proofErr w:type="spellStart"/>
      <w:r w:rsidRPr="00C07943">
        <w:rPr>
          <w:rFonts w:ascii="Verdana" w:eastAsia="Times New Roman" w:hAnsi="Verdana" w:cs="Times New Roman"/>
          <w:color w:val="111111"/>
          <w:sz w:val="23"/>
          <w:szCs w:val="23"/>
        </w:rPr>
        <w:t>Dhritiman</w:t>
      </w:r>
      <w:proofErr w:type="spellEnd"/>
      <w:r w:rsidRPr="00C07943">
        <w:rPr>
          <w:rFonts w:ascii="Verdana" w:eastAsia="Times New Roman" w:hAnsi="Verdana" w:cs="Times New Roman"/>
          <w:color w:val="111111"/>
          <w:sz w:val="23"/>
          <w:szCs w:val="23"/>
        </w:rPr>
        <w:t xml:space="preserve"> Mukherjee and Bollywood music director </w:t>
      </w:r>
      <w:proofErr w:type="spellStart"/>
      <w:r w:rsidRPr="00C07943">
        <w:rPr>
          <w:rFonts w:ascii="Verdana" w:eastAsia="Times New Roman" w:hAnsi="Verdana" w:cs="Times New Roman"/>
          <w:color w:val="111111"/>
          <w:sz w:val="23"/>
          <w:szCs w:val="23"/>
        </w:rPr>
        <w:t>Shantanu</w:t>
      </w:r>
      <w:proofErr w:type="spellEnd"/>
      <w:r w:rsidRPr="00C07943">
        <w:rPr>
          <w:rFonts w:ascii="Verdana" w:eastAsia="Times New Roman" w:hAnsi="Verdana" w:cs="Times New Roman"/>
          <w:color w:val="111111"/>
          <w:sz w:val="23"/>
          <w:szCs w:val="23"/>
        </w:rPr>
        <w:t xml:space="preserve"> </w:t>
      </w:r>
      <w:proofErr w:type="spellStart"/>
      <w:r w:rsidRPr="00C07943">
        <w:rPr>
          <w:rFonts w:ascii="Verdana" w:eastAsia="Times New Roman" w:hAnsi="Verdana" w:cs="Times New Roman"/>
          <w:color w:val="111111"/>
          <w:sz w:val="23"/>
          <w:szCs w:val="23"/>
        </w:rPr>
        <w:t>Moitra</w:t>
      </w:r>
      <w:proofErr w:type="spellEnd"/>
      <w:r w:rsidRPr="00C07943">
        <w:rPr>
          <w:rFonts w:ascii="Verdana" w:eastAsia="Times New Roman" w:hAnsi="Verdana" w:cs="Times New Roman"/>
          <w:color w:val="111111"/>
          <w:sz w:val="23"/>
          <w:szCs w:val="23"/>
        </w:rPr>
        <w:t xml:space="preserve"> visited </w:t>
      </w:r>
      <w:proofErr w:type="spellStart"/>
      <w:r w:rsidRPr="00C07943">
        <w:rPr>
          <w:rFonts w:ascii="Verdana" w:eastAsia="Times New Roman" w:hAnsi="Verdana" w:cs="Times New Roman"/>
          <w:color w:val="111111"/>
          <w:sz w:val="23"/>
          <w:szCs w:val="23"/>
        </w:rPr>
        <w:t>Mongpu</w:t>
      </w:r>
      <w:proofErr w:type="spellEnd"/>
      <w:r w:rsidRPr="00C07943">
        <w:rPr>
          <w:rFonts w:ascii="Verdana" w:eastAsia="Times New Roman" w:hAnsi="Verdana" w:cs="Times New Roman"/>
          <w:color w:val="111111"/>
          <w:sz w:val="23"/>
          <w:szCs w:val="23"/>
        </w:rPr>
        <w:t>—and their Bengali </w:t>
      </w:r>
      <w:r w:rsidRPr="00C07943">
        <w:rPr>
          <w:rFonts w:ascii="Verdana" w:eastAsia="Times New Roman" w:hAnsi="Verdana" w:cs="Times New Roman"/>
          <w:b/>
          <w:bCs/>
          <w:i/>
          <w:iCs/>
          <w:color w:val="111111"/>
          <w:sz w:val="23"/>
          <w:szCs w:val="23"/>
        </w:rPr>
        <w:t>heritage</w:t>
      </w:r>
      <w:r w:rsidRPr="00C07943">
        <w:rPr>
          <w:rFonts w:ascii="Verdana" w:eastAsia="Times New Roman" w:hAnsi="Verdana" w:cs="Times New Roman"/>
          <w:color w:val="111111"/>
          <w:sz w:val="23"/>
          <w:szCs w:val="23"/>
        </w:rPr>
        <w:t xml:space="preserve">—when they were on the West Bengal leg of their #100DaysInHimalayas project. Between February and December 2016, the duo will make a series of trips in the Himalayas covering reaches running from Kashmir to Arunachal Pradesh, and into the </w:t>
      </w:r>
      <w:proofErr w:type="spellStart"/>
      <w:r w:rsidRPr="00C07943">
        <w:rPr>
          <w:rFonts w:ascii="Verdana" w:eastAsia="Times New Roman" w:hAnsi="Verdana" w:cs="Times New Roman"/>
          <w:color w:val="111111"/>
          <w:sz w:val="23"/>
          <w:szCs w:val="23"/>
        </w:rPr>
        <w:t>neighbouring</w:t>
      </w:r>
      <w:proofErr w:type="spellEnd"/>
      <w:r w:rsidRPr="00C07943">
        <w:rPr>
          <w:rFonts w:ascii="Verdana" w:eastAsia="Times New Roman" w:hAnsi="Verdana" w:cs="Times New Roman"/>
          <w:color w:val="111111"/>
          <w:sz w:val="23"/>
          <w:szCs w:val="23"/>
        </w:rPr>
        <w:t xml:space="preserve"> foothills of Nepal and Bhutan—and they’re taking </w:t>
      </w:r>
      <w:r w:rsidRPr="00C07943">
        <w:rPr>
          <w:rFonts w:ascii="Verdana" w:eastAsia="Times New Roman" w:hAnsi="Verdana" w:cs="Times New Roman"/>
          <w:i/>
          <w:iCs/>
          <w:color w:val="111111"/>
          <w:sz w:val="23"/>
          <w:szCs w:val="23"/>
        </w:rPr>
        <w:t xml:space="preserve">National Geographic </w:t>
      </w:r>
      <w:proofErr w:type="spellStart"/>
      <w:r w:rsidRPr="00C07943">
        <w:rPr>
          <w:rFonts w:ascii="Verdana" w:eastAsia="Times New Roman" w:hAnsi="Verdana" w:cs="Times New Roman"/>
          <w:i/>
          <w:iCs/>
          <w:color w:val="111111"/>
          <w:sz w:val="23"/>
          <w:szCs w:val="23"/>
        </w:rPr>
        <w:t>Traveller</w:t>
      </w:r>
      <w:proofErr w:type="spellEnd"/>
      <w:r w:rsidRPr="00C07943">
        <w:rPr>
          <w:rFonts w:ascii="Verdana" w:eastAsia="Times New Roman" w:hAnsi="Verdana" w:cs="Times New Roman"/>
          <w:i/>
          <w:iCs/>
          <w:color w:val="111111"/>
          <w:sz w:val="23"/>
          <w:szCs w:val="23"/>
        </w:rPr>
        <w:t xml:space="preserve"> </w:t>
      </w:r>
      <w:proofErr w:type="spellStart"/>
      <w:r w:rsidRPr="00C07943">
        <w:rPr>
          <w:rFonts w:ascii="Verdana" w:eastAsia="Times New Roman" w:hAnsi="Verdana" w:cs="Times New Roman"/>
          <w:i/>
          <w:iCs/>
          <w:color w:val="111111"/>
          <w:sz w:val="23"/>
          <w:szCs w:val="23"/>
        </w:rPr>
        <w:t>India</w:t>
      </w:r>
      <w:r w:rsidRPr="00C07943">
        <w:rPr>
          <w:rFonts w:ascii="Verdana" w:eastAsia="Times New Roman" w:hAnsi="Verdana" w:cs="Times New Roman"/>
          <w:color w:val="111111"/>
          <w:sz w:val="23"/>
          <w:szCs w:val="23"/>
        </w:rPr>
        <w:t>along</w:t>
      </w:r>
      <w:proofErr w:type="spellEnd"/>
      <w:r w:rsidRPr="00C07943">
        <w:rPr>
          <w:rFonts w:ascii="Verdana" w:eastAsia="Times New Roman" w:hAnsi="Verdana" w:cs="Times New Roman"/>
          <w:color w:val="111111"/>
          <w:sz w:val="23"/>
          <w:szCs w:val="23"/>
        </w:rPr>
        <w:t xml:space="preserve"> for the ride.</w:t>
      </w:r>
    </w:p>
    <w:p w:rsidR="00C07943" w:rsidRPr="00C07943" w:rsidRDefault="00C07943" w:rsidP="00C07943">
      <w:pPr>
        <w:spacing w:line="365" w:lineRule="atLeast"/>
        <w:jc w:val="center"/>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 </w:t>
      </w:r>
    </w:p>
    <w:p w:rsidR="00C07943" w:rsidRPr="00C07943" w:rsidRDefault="00C07943" w:rsidP="00C07943">
      <w:pPr>
        <w:spacing w:before="192" w:after="192" w:line="365" w:lineRule="atLeast"/>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 xml:space="preserve">On a day trip to </w:t>
      </w:r>
      <w:proofErr w:type="spellStart"/>
      <w:r w:rsidRPr="00C07943">
        <w:rPr>
          <w:rFonts w:ascii="Verdana" w:eastAsia="Times New Roman" w:hAnsi="Verdana" w:cs="Times New Roman"/>
          <w:color w:val="111111"/>
          <w:sz w:val="23"/>
          <w:szCs w:val="23"/>
        </w:rPr>
        <w:t>Mongpu</w:t>
      </w:r>
      <w:proofErr w:type="spellEnd"/>
      <w:r w:rsidRPr="00C07943">
        <w:rPr>
          <w:rFonts w:ascii="Verdana" w:eastAsia="Times New Roman" w:hAnsi="Verdana" w:cs="Times New Roman"/>
          <w:color w:val="111111"/>
          <w:sz w:val="23"/>
          <w:szCs w:val="23"/>
        </w:rPr>
        <w:t>, they visited the bungalow where Tagore stayed at the invitation of his </w:t>
      </w:r>
      <w:r w:rsidRPr="00C07943">
        <w:rPr>
          <w:rFonts w:ascii="Verdana" w:eastAsia="Times New Roman" w:hAnsi="Verdana" w:cs="Times New Roman"/>
          <w:b/>
          <w:bCs/>
          <w:i/>
          <w:iCs/>
          <w:color w:val="111111"/>
          <w:sz w:val="23"/>
          <w:szCs w:val="23"/>
        </w:rPr>
        <w:t>protégée</w:t>
      </w:r>
      <w:r w:rsidRPr="00C07943">
        <w:rPr>
          <w:rFonts w:ascii="Verdana" w:eastAsia="Times New Roman" w:hAnsi="Verdana" w:cs="Times New Roman"/>
          <w:color w:val="111111"/>
          <w:sz w:val="23"/>
          <w:szCs w:val="23"/>
        </w:rPr>
        <w:t xml:space="preserve">, the author </w:t>
      </w:r>
      <w:proofErr w:type="spellStart"/>
      <w:r w:rsidRPr="00C07943">
        <w:rPr>
          <w:rFonts w:ascii="Verdana" w:eastAsia="Times New Roman" w:hAnsi="Verdana" w:cs="Times New Roman"/>
          <w:color w:val="111111"/>
          <w:sz w:val="23"/>
          <w:szCs w:val="23"/>
        </w:rPr>
        <w:t>Maitreyi</w:t>
      </w:r>
      <w:proofErr w:type="spellEnd"/>
      <w:r w:rsidRPr="00C07943">
        <w:rPr>
          <w:rFonts w:ascii="Verdana" w:eastAsia="Times New Roman" w:hAnsi="Verdana" w:cs="Times New Roman"/>
          <w:color w:val="111111"/>
          <w:sz w:val="23"/>
          <w:szCs w:val="23"/>
        </w:rPr>
        <w:t xml:space="preserve"> Devi. The house overlooks a </w:t>
      </w:r>
      <w:r w:rsidRPr="00C07943">
        <w:rPr>
          <w:rFonts w:ascii="Verdana" w:eastAsia="Times New Roman" w:hAnsi="Verdana" w:cs="Times New Roman"/>
          <w:b/>
          <w:bCs/>
          <w:i/>
          <w:iCs/>
          <w:color w:val="111111"/>
          <w:sz w:val="23"/>
          <w:szCs w:val="23"/>
        </w:rPr>
        <w:t>cinchona</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b/>
          <w:bCs/>
          <w:i/>
          <w:iCs/>
          <w:color w:val="111111"/>
          <w:sz w:val="23"/>
          <w:szCs w:val="23"/>
        </w:rPr>
        <w:t>plantation</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and </w:t>
      </w:r>
      <w:r w:rsidRPr="00C07943">
        <w:rPr>
          <w:rFonts w:ascii="Verdana" w:eastAsia="Times New Roman" w:hAnsi="Verdana" w:cs="Times New Roman"/>
          <w:b/>
          <w:bCs/>
          <w:i/>
          <w:iCs/>
          <w:color w:val="111111"/>
          <w:sz w:val="23"/>
          <w:szCs w:val="23"/>
        </w:rPr>
        <w:t>quinine</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factory, once managed by Devi’s husband. On his last visit in 1940, Tagore fell very ill and had to be shifted to Kolkata. He passed away the next year, leaving behind several </w:t>
      </w:r>
      <w:r w:rsidRPr="00C07943">
        <w:rPr>
          <w:rFonts w:ascii="Verdana" w:eastAsia="Times New Roman" w:hAnsi="Verdana" w:cs="Times New Roman"/>
          <w:b/>
          <w:bCs/>
          <w:i/>
          <w:iCs/>
          <w:color w:val="111111"/>
          <w:sz w:val="23"/>
          <w:szCs w:val="23"/>
        </w:rPr>
        <w:t>possessions</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 xml:space="preserve">at the </w:t>
      </w:r>
      <w:proofErr w:type="spellStart"/>
      <w:r w:rsidRPr="00C07943">
        <w:rPr>
          <w:rFonts w:ascii="Verdana" w:eastAsia="Times New Roman" w:hAnsi="Verdana" w:cs="Times New Roman"/>
          <w:color w:val="111111"/>
          <w:sz w:val="23"/>
          <w:szCs w:val="23"/>
        </w:rPr>
        <w:t>Mongpu</w:t>
      </w:r>
      <w:proofErr w:type="spellEnd"/>
      <w:r w:rsidRPr="00C07943">
        <w:rPr>
          <w:rFonts w:ascii="Verdana" w:eastAsia="Times New Roman" w:hAnsi="Verdana" w:cs="Times New Roman"/>
          <w:color w:val="111111"/>
          <w:sz w:val="23"/>
          <w:szCs w:val="23"/>
        </w:rPr>
        <w:t> </w:t>
      </w:r>
      <w:r w:rsidRPr="00C07943">
        <w:rPr>
          <w:rFonts w:ascii="Verdana" w:eastAsia="Times New Roman" w:hAnsi="Verdana" w:cs="Times New Roman"/>
          <w:b/>
          <w:bCs/>
          <w:i/>
          <w:iCs/>
          <w:color w:val="111111"/>
          <w:sz w:val="23"/>
          <w:szCs w:val="23"/>
        </w:rPr>
        <w:t>residence</w:t>
      </w:r>
      <w:r w:rsidRPr="00C07943">
        <w:rPr>
          <w:rFonts w:ascii="Verdana" w:eastAsia="Times New Roman" w:hAnsi="Verdana" w:cs="Times New Roman"/>
          <w:color w:val="111111"/>
          <w:sz w:val="23"/>
          <w:szCs w:val="23"/>
        </w:rPr>
        <w:t xml:space="preserve">, which was later turned into a museum by the government, and named </w:t>
      </w:r>
      <w:proofErr w:type="spellStart"/>
      <w:r w:rsidRPr="00C07943">
        <w:rPr>
          <w:rFonts w:ascii="Verdana" w:eastAsia="Times New Roman" w:hAnsi="Verdana" w:cs="Times New Roman"/>
          <w:color w:val="111111"/>
          <w:sz w:val="23"/>
          <w:szCs w:val="23"/>
        </w:rPr>
        <w:t>Rabindra</w:t>
      </w:r>
      <w:proofErr w:type="spellEnd"/>
      <w:r w:rsidRPr="00C07943">
        <w:rPr>
          <w:rFonts w:ascii="Verdana" w:eastAsia="Times New Roman" w:hAnsi="Verdana" w:cs="Times New Roman"/>
          <w:color w:val="111111"/>
          <w:sz w:val="23"/>
          <w:szCs w:val="23"/>
        </w:rPr>
        <w:t xml:space="preserve"> </w:t>
      </w:r>
      <w:proofErr w:type="spellStart"/>
      <w:r w:rsidRPr="00C07943">
        <w:rPr>
          <w:rFonts w:ascii="Verdana" w:eastAsia="Times New Roman" w:hAnsi="Verdana" w:cs="Times New Roman"/>
          <w:color w:val="111111"/>
          <w:sz w:val="23"/>
          <w:szCs w:val="23"/>
        </w:rPr>
        <w:t>Bhavan</w:t>
      </w:r>
      <w:proofErr w:type="spellEnd"/>
      <w:r w:rsidRPr="00C07943">
        <w:rPr>
          <w:rFonts w:ascii="Verdana" w:eastAsia="Times New Roman" w:hAnsi="Verdana" w:cs="Times New Roman"/>
          <w:color w:val="111111"/>
          <w:sz w:val="23"/>
          <w:szCs w:val="23"/>
        </w:rPr>
        <w:t>.</w:t>
      </w:r>
    </w:p>
    <w:p w:rsidR="00C07943" w:rsidRPr="00C07943" w:rsidRDefault="00C07943" w:rsidP="00C07943">
      <w:pPr>
        <w:spacing w:line="365" w:lineRule="atLeast"/>
        <w:jc w:val="center"/>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 </w:t>
      </w:r>
    </w:p>
    <w:p w:rsidR="00C07943" w:rsidRPr="00C07943" w:rsidRDefault="00C07943" w:rsidP="00C07943">
      <w:pPr>
        <w:spacing w:before="192" w:after="192" w:line="365" w:lineRule="atLeast"/>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 xml:space="preserve">Among </w:t>
      </w:r>
      <w:proofErr w:type="spellStart"/>
      <w:r w:rsidRPr="00C07943">
        <w:rPr>
          <w:rFonts w:ascii="Verdana" w:eastAsia="Times New Roman" w:hAnsi="Verdana" w:cs="Times New Roman"/>
          <w:color w:val="111111"/>
          <w:sz w:val="23"/>
          <w:szCs w:val="23"/>
        </w:rPr>
        <w:t>Rabindra</w:t>
      </w:r>
      <w:proofErr w:type="spellEnd"/>
      <w:r w:rsidRPr="00C07943">
        <w:rPr>
          <w:rFonts w:ascii="Verdana" w:eastAsia="Times New Roman" w:hAnsi="Verdana" w:cs="Times New Roman"/>
          <w:color w:val="111111"/>
          <w:sz w:val="23"/>
          <w:szCs w:val="23"/>
        </w:rPr>
        <w:t xml:space="preserve"> </w:t>
      </w:r>
      <w:proofErr w:type="spellStart"/>
      <w:r w:rsidRPr="00C07943">
        <w:rPr>
          <w:rFonts w:ascii="Verdana" w:eastAsia="Times New Roman" w:hAnsi="Verdana" w:cs="Times New Roman"/>
          <w:color w:val="111111"/>
          <w:sz w:val="23"/>
          <w:szCs w:val="23"/>
        </w:rPr>
        <w:t>Bhavan’s</w:t>
      </w:r>
      <w:proofErr w:type="spellEnd"/>
      <w:r w:rsidRPr="00C07943">
        <w:rPr>
          <w:rFonts w:ascii="Verdana" w:eastAsia="Times New Roman" w:hAnsi="Verdana" w:cs="Times New Roman"/>
          <w:color w:val="111111"/>
          <w:sz w:val="23"/>
          <w:szCs w:val="23"/>
        </w:rPr>
        <w:t xml:space="preserve"> display are </w:t>
      </w:r>
      <w:r w:rsidRPr="00C07943">
        <w:rPr>
          <w:rFonts w:ascii="Verdana" w:eastAsia="Times New Roman" w:hAnsi="Verdana" w:cs="Times New Roman"/>
          <w:b/>
          <w:bCs/>
          <w:i/>
          <w:iCs/>
          <w:color w:val="111111"/>
          <w:sz w:val="23"/>
          <w:szCs w:val="23"/>
        </w:rPr>
        <w:t>artworks</w:t>
      </w:r>
      <w:r w:rsidRPr="00C07943">
        <w:rPr>
          <w:rFonts w:ascii="Verdana" w:eastAsia="Times New Roman" w:hAnsi="Verdana" w:cs="Times New Roman"/>
          <w:color w:val="111111"/>
          <w:sz w:val="23"/>
          <w:szCs w:val="23"/>
        </w:rPr>
        <w:t>, handwritten documents, and most interestingly, furniture designed by Tagore and </w:t>
      </w:r>
      <w:r w:rsidRPr="00C07943">
        <w:rPr>
          <w:rFonts w:ascii="Verdana" w:eastAsia="Times New Roman" w:hAnsi="Verdana" w:cs="Times New Roman"/>
          <w:b/>
          <w:bCs/>
          <w:i/>
          <w:iCs/>
          <w:color w:val="111111"/>
          <w:sz w:val="23"/>
          <w:szCs w:val="23"/>
        </w:rPr>
        <w:t>carved</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 xml:space="preserve">by his son, </w:t>
      </w:r>
      <w:proofErr w:type="spellStart"/>
      <w:r w:rsidRPr="00C07943">
        <w:rPr>
          <w:rFonts w:ascii="Verdana" w:eastAsia="Times New Roman" w:hAnsi="Verdana" w:cs="Times New Roman"/>
          <w:color w:val="111111"/>
          <w:sz w:val="23"/>
          <w:szCs w:val="23"/>
        </w:rPr>
        <w:t>Rathindranath</w:t>
      </w:r>
      <w:proofErr w:type="spellEnd"/>
      <w:r w:rsidRPr="00C07943">
        <w:rPr>
          <w:rFonts w:ascii="Verdana" w:eastAsia="Times New Roman" w:hAnsi="Verdana" w:cs="Times New Roman"/>
          <w:color w:val="111111"/>
          <w:sz w:val="23"/>
          <w:szCs w:val="23"/>
        </w:rPr>
        <w:t xml:space="preserve"> Tagore. </w:t>
      </w:r>
      <w:proofErr w:type="spellStart"/>
      <w:r w:rsidRPr="00C07943">
        <w:rPr>
          <w:rFonts w:ascii="Verdana" w:eastAsia="Times New Roman" w:hAnsi="Verdana" w:cs="Times New Roman"/>
          <w:color w:val="111111"/>
          <w:sz w:val="23"/>
          <w:szCs w:val="23"/>
        </w:rPr>
        <w:t>Moitra</w:t>
      </w:r>
      <w:proofErr w:type="spellEnd"/>
      <w:r w:rsidRPr="00C07943">
        <w:rPr>
          <w:rFonts w:ascii="Verdana" w:eastAsia="Times New Roman" w:hAnsi="Verdana" w:cs="Times New Roman"/>
          <w:color w:val="111111"/>
          <w:sz w:val="23"/>
          <w:szCs w:val="23"/>
        </w:rPr>
        <w:t xml:space="preserve"> and Mukherjee saw Tagore’s bed, which has an inclined headrest said to have </w:t>
      </w:r>
      <w:r w:rsidRPr="00C07943">
        <w:rPr>
          <w:rFonts w:ascii="Verdana" w:eastAsia="Times New Roman" w:hAnsi="Verdana" w:cs="Times New Roman"/>
          <w:b/>
          <w:bCs/>
          <w:i/>
          <w:iCs/>
          <w:color w:val="111111"/>
          <w:sz w:val="23"/>
          <w:szCs w:val="23"/>
        </w:rPr>
        <w:t>tackled</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his respiratory problem. His </w:t>
      </w:r>
      <w:r w:rsidRPr="00C07943">
        <w:rPr>
          <w:rFonts w:ascii="Verdana" w:eastAsia="Times New Roman" w:hAnsi="Verdana" w:cs="Times New Roman"/>
          <w:b/>
          <w:bCs/>
          <w:i/>
          <w:iCs/>
          <w:color w:val="111111"/>
          <w:sz w:val="23"/>
          <w:szCs w:val="23"/>
        </w:rPr>
        <w:t>mahogany</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writing desk and chair, said to be designed to support his back, faces a window with a </w:t>
      </w:r>
      <w:r w:rsidRPr="00C07943">
        <w:rPr>
          <w:rFonts w:ascii="Verdana" w:eastAsia="Times New Roman" w:hAnsi="Verdana" w:cs="Times New Roman"/>
          <w:b/>
          <w:bCs/>
          <w:i/>
          <w:iCs/>
          <w:color w:val="111111"/>
          <w:sz w:val="23"/>
          <w:szCs w:val="23"/>
        </w:rPr>
        <w:t>tranquil</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view of the lush, hilly landscape that the nature-loving writer treasured. For Mukherjee, the window by which Tagore wrote provided the biggest emotional connection. “He had a vast view in front, and that landscape is </w:t>
      </w:r>
      <w:r w:rsidRPr="00C07943">
        <w:rPr>
          <w:rFonts w:ascii="Verdana" w:eastAsia="Times New Roman" w:hAnsi="Verdana" w:cs="Times New Roman"/>
          <w:b/>
          <w:bCs/>
          <w:i/>
          <w:iCs/>
          <w:color w:val="111111"/>
          <w:sz w:val="23"/>
          <w:szCs w:val="23"/>
        </w:rPr>
        <w:t>intact</w:t>
      </w:r>
      <w:r w:rsidRPr="00C07943">
        <w:rPr>
          <w:rFonts w:ascii="Verdana" w:eastAsia="Times New Roman" w:hAnsi="Verdana" w:cs="Times New Roman"/>
          <w:color w:val="111111"/>
          <w:sz w:val="23"/>
          <w:szCs w:val="23"/>
        </w:rPr>
        <w:t>,” the photographer said, “It’s very green, there are lots of trees; it’s at the edge of the snow.”</w:t>
      </w:r>
    </w:p>
    <w:p w:rsidR="00C07943" w:rsidRPr="00C07943" w:rsidRDefault="00C07943" w:rsidP="00C07943">
      <w:pPr>
        <w:spacing w:line="365" w:lineRule="atLeast"/>
        <w:jc w:val="center"/>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lastRenderedPageBreak/>
        <w:t> </w:t>
      </w:r>
    </w:p>
    <w:p w:rsidR="00C07943" w:rsidRPr="00C07943" w:rsidRDefault="00C07943" w:rsidP="00C07943">
      <w:pPr>
        <w:spacing w:before="192" w:after="192" w:line="365" w:lineRule="atLeast"/>
        <w:rPr>
          <w:rFonts w:ascii="Verdana" w:eastAsia="Times New Roman" w:hAnsi="Verdana" w:cs="Times New Roman"/>
          <w:color w:val="111111"/>
          <w:sz w:val="23"/>
          <w:szCs w:val="23"/>
        </w:rPr>
      </w:pPr>
      <w:r w:rsidRPr="00C07943">
        <w:rPr>
          <w:rFonts w:ascii="Verdana" w:eastAsia="Times New Roman" w:hAnsi="Verdana" w:cs="Times New Roman"/>
          <w:color w:val="111111"/>
          <w:sz w:val="23"/>
          <w:szCs w:val="23"/>
        </w:rPr>
        <w:t>Like many visitors at this </w:t>
      </w:r>
      <w:r w:rsidRPr="00C07943">
        <w:rPr>
          <w:rFonts w:ascii="Verdana" w:eastAsia="Times New Roman" w:hAnsi="Verdana" w:cs="Times New Roman"/>
          <w:b/>
          <w:bCs/>
          <w:i/>
          <w:iCs/>
          <w:color w:val="111111"/>
          <w:sz w:val="23"/>
          <w:szCs w:val="23"/>
        </w:rPr>
        <w:t>memorial</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 xml:space="preserve">to a literary giant, </w:t>
      </w:r>
      <w:proofErr w:type="spellStart"/>
      <w:r w:rsidRPr="00C07943">
        <w:rPr>
          <w:rFonts w:ascii="Verdana" w:eastAsia="Times New Roman" w:hAnsi="Verdana" w:cs="Times New Roman"/>
          <w:color w:val="111111"/>
          <w:sz w:val="23"/>
          <w:szCs w:val="23"/>
        </w:rPr>
        <w:t>Moitra</w:t>
      </w:r>
      <w:proofErr w:type="spellEnd"/>
      <w:r w:rsidRPr="00C07943">
        <w:rPr>
          <w:rFonts w:ascii="Verdana" w:eastAsia="Times New Roman" w:hAnsi="Verdana" w:cs="Times New Roman"/>
          <w:color w:val="111111"/>
          <w:sz w:val="23"/>
          <w:szCs w:val="23"/>
        </w:rPr>
        <w:t xml:space="preserve"> was dismayed by the broken windowpanes, cracked walls, dented doors and </w:t>
      </w:r>
      <w:r w:rsidRPr="00C07943">
        <w:rPr>
          <w:rFonts w:ascii="Verdana" w:eastAsia="Times New Roman" w:hAnsi="Verdana" w:cs="Times New Roman"/>
          <w:b/>
          <w:bCs/>
          <w:i/>
          <w:iCs/>
          <w:color w:val="111111"/>
          <w:sz w:val="23"/>
          <w:szCs w:val="23"/>
        </w:rPr>
        <w:t>inadequate</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security. “We could have walked out with any of Tagore’s belongings,” he said. And yet, much of it remains. The place may be </w:t>
      </w:r>
      <w:r w:rsidRPr="00C07943">
        <w:rPr>
          <w:rFonts w:ascii="Verdana" w:eastAsia="Times New Roman" w:hAnsi="Verdana" w:cs="Times New Roman"/>
          <w:b/>
          <w:bCs/>
          <w:i/>
          <w:iCs/>
          <w:color w:val="111111"/>
          <w:sz w:val="23"/>
          <w:szCs w:val="23"/>
        </w:rPr>
        <w:t>unkempt</w:t>
      </w:r>
      <w:r w:rsidRPr="00C07943">
        <w:rPr>
          <w:rFonts w:ascii="Verdana" w:eastAsia="Times New Roman" w:hAnsi="Verdana" w:cs="Times New Roman"/>
          <w:i/>
          <w:iCs/>
          <w:color w:val="111111"/>
          <w:sz w:val="23"/>
          <w:szCs w:val="23"/>
        </w:rPr>
        <w:t> </w:t>
      </w:r>
      <w:r w:rsidRPr="00C07943">
        <w:rPr>
          <w:rFonts w:ascii="Verdana" w:eastAsia="Times New Roman" w:hAnsi="Verdana" w:cs="Times New Roman"/>
          <w:color w:val="111111"/>
          <w:sz w:val="23"/>
          <w:szCs w:val="23"/>
        </w:rPr>
        <w:t>but the legacy of Tagore’s visits is still strong in the village.</w:t>
      </w:r>
    </w:p>
    <w:tbl>
      <w:tblPr>
        <w:tblStyle w:val="TableGrid"/>
        <w:tblW w:w="0" w:type="auto"/>
        <w:tblLook w:val="04A0" w:firstRow="1" w:lastRow="0" w:firstColumn="1" w:lastColumn="0" w:noHBand="0" w:noVBand="1"/>
      </w:tblPr>
      <w:tblGrid>
        <w:gridCol w:w="3116"/>
        <w:gridCol w:w="3117"/>
        <w:gridCol w:w="3117"/>
      </w:tblGrid>
      <w:tr w:rsidR="00C07943" w:rsidTr="00D67261">
        <w:tc>
          <w:tcPr>
            <w:tcW w:w="3116" w:type="dxa"/>
          </w:tcPr>
          <w:p w:rsidR="00C07943" w:rsidRDefault="00C07943" w:rsidP="00D67261">
            <w:r>
              <w:t>WORD</w:t>
            </w:r>
          </w:p>
        </w:tc>
        <w:tc>
          <w:tcPr>
            <w:tcW w:w="3117" w:type="dxa"/>
          </w:tcPr>
          <w:p w:rsidR="00C07943" w:rsidRDefault="00C07943" w:rsidP="00D67261">
            <w:r>
              <w:t>MEANING</w:t>
            </w:r>
          </w:p>
        </w:tc>
        <w:tc>
          <w:tcPr>
            <w:tcW w:w="3117" w:type="dxa"/>
          </w:tcPr>
          <w:p w:rsidR="00C07943" w:rsidRDefault="00C07943" w:rsidP="00D67261">
            <w:r>
              <w:t>SYNONYM</w:t>
            </w:r>
          </w:p>
        </w:tc>
      </w:tr>
      <w:tr w:rsidR="00C07943" w:rsidTr="00D67261">
        <w:tc>
          <w:tcPr>
            <w:tcW w:w="3116" w:type="dxa"/>
          </w:tcPr>
          <w:p w:rsidR="00C07943" w:rsidRDefault="00C07943" w:rsidP="00D67261">
            <w:pPr>
              <w:pStyle w:val="ListParagraph"/>
              <w:numPr>
                <w:ilvl w:val="0"/>
                <w:numId w:val="1"/>
              </w:numPr>
            </w:pPr>
            <w:r>
              <w:t>Photographer</w:t>
            </w:r>
          </w:p>
        </w:tc>
        <w:tc>
          <w:tcPr>
            <w:tcW w:w="3117" w:type="dxa"/>
          </w:tcPr>
          <w:p w:rsidR="00C07943" w:rsidRDefault="00C07943" w:rsidP="00D67261">
            <w:r>
              <w:t>A person who takes photographs, especially as a job.</w:t>
            </w:r>
          </w:p>
        </w:tc>
        <w:tc>
          <w:tcPr>
            <w:tcW w:w="3117" w:type="dxa"/>
          </w:tcPr>
          <w:p w:rsidR="00C07943" w:rsidRDefault="00C07943" w:rsidP="00D67261">
            <w:r>
              <w:t>Paparazzo, photojournalist, shutterbug</w:t>
            </w:r>
          </w:p>
        </w:tc>
      </w:tr>
      <w:tr w:rsidR="00C07943" w:rsidTr="00D67261">
        <w:tc>
          <w:tcPr>
            <w:tcW w:w="3116" w:type="dxa"/>
          </w:tcPr>
          <w:p w:rsidR="00C07943" w:rsidRDefault="00C07943" w:rsidP="00D67261">
            <w:pPr>
              <w:pStyle w:val="ListParagraph"/>
              <w:numPr>
                <w:ilvl w:val="0"/>
                <w:numId w:val="1"/>
              </w:numPr>
            </w:pPr>
            <w:r>
              <w:t>Heritage</w:t>
            </w:r>
          </w:p>
        </w:tc>
        <w:tc>
          <w:tcPr>
            <w:tcW w:w="3117" w:type="dxa"/>
          </w:tcPr>
          <w:p w:rsidR="00C07943" w:rsidRDefault="00C07943" w:rsidP="00D67261">
            <w:r>
              <w:t>Property that is or may be inherited; and inheritance;</w:t>
            </w:r>
          </w:p>
          <w:p w:rsidR="00C07943" w:rsidRDefault="00C07943" w:rsidP="00D67261">
            <w:r>
              <w:t>A special or individual possession; an allotted portion</w:t>
            </w:r>
          </w:p>
        </w:tc>
        <w:tc>
          <w:tcPr>
            <w:tcW w:w="3117" w:type="dxa"/>
          </w:tcPr>
          <w:p w:rsidR="00C07943" w:rsidRDefault="00C07943" w:rsidP="00D67261">
            <w:r>
              <w:t>Ancestry, culture, custom, legacy, right, tradition, bequest, birthright, convention, dowry, endowment, estate, fashion, inheritance, lot, patrimony, portion, share</w:t>
            </w:r>
          </w:p>
        </w:tc>
      </w:tr>
      <w:tr w:rsidR="00C07943" w:rsidTr="00D67261">
        <w:tc>
          <w:tcPr>
            <w:tcW w:w="3116" w:type="dxa"/>
          </w:tcPr>
          <w:p w:rsidR="00C07943" w:rsidRDefault="00C07943" w:rsidP="00D67261">
            <w:pPr>
              <w:pStyle w:val="ListParagraph"/>
              <w:numPr>
                <w:ilvl w:val="0"/>
                <w:numId w:val="1"/>
              </w:numPr>
            </w:pPr>
            <w:r>
              <w:t xml:space="preserve">Cinchona </w:t>
            </w:r>
          </w:p>
        </w:tc>
        <w:tc>
          <w:tcPr>
            <w:tcW w:w="3117" w:type="dxa"/>
          </w:tcPr>
          <w:p w:rsidR="00C07943" w:rsidRDefault="00C07943" w:rsidP="00D67261">
            <w:r>
              <w:t>An evergreen South American tree or shrub with fragrant flowers, cultivated for its bark</w:t>
            </w:r>
          </w:p>
        </w:tc>
        <w:tc>
          <w:tcPr>
            <w:tcW w:w="3117" w:type="dxa"/>
          </w:tcPr>
          <w:p w:rsidR="00C07943" w:rsidRDefault="00C07943" w:rsidP="00D67261"/>
        </w:tc>
      </w:tr>
      <w:tr w:rsidR="00C07943" w:rsidTr="00D67261">
        <w:tc>
          <w:tcPr>
            <w:tcW w:w="3116" w:type="dxa"/>
          </w:tcPr>
          <w:p w:rsidR="00C07943" w:rsidRDefault="00C07943" w:rsidP="00D67261">
            <w:pPr>
              <w:pStyle w:val="ListParagraph"/>
              <w:numPr>
                <w:ilvl w:val="0"/>
                <w:numId w:val="1"/>
              </w:numPr>
            </w:pPr>
            <w:r>
              <w:t xml:space="preserve">Plantation </w:t>
            </w:r>
          </w:p>
        </w:tc>
        <w:tc>
          <w:tcPr>
            <w:tcW w:w="3117" w:type="dxa"/>
          </w:tcPr>
          <w:p w:rsidR="00C07943" w:rsidRDefault="00C07943" w:rsidP="00D67261">
            <w:r>
              <w:t>An estate on which crops such as coffee, sugar, and tobacco are grown;</w:t>
            </w:r>
          </w:p>
          <w:p w:rsidR="00C07943" w:rsidRDefault="00C07943" w:rsidP="00D67261">
            <w:r>
              <w:t>Colonization or settlement of emigrants, especially of English and then Scottish families in Ireland in 16</w:t>
            </w:r>
            <w:r w:rsidRPr="007320B6">
              <w:rPr>
                <w:vertAlign w:val="superscript"/>
              </w:rPr>
              <w:t>th</w:t>
            </w:r>
            <w:r>
              <w:t xml:space="preserve"> -17</w:t>
            </w:r>
            <w:r w:rsidRPr="007320B6">
              <w:rPr>
                <w:vertAlign w:val="superscript"/>
              </w:rPr>
              <w:t>th</w:t>
            </w:r>
            <w:r>
              <w:t xml:space="preserve"> centuries under government sponsorship.</w:t>
            </w:r>
          </w:p>
        </w:tc>
        <w:tc>
          <w:tcPr>
            <w:tcW w:w="3117" w:type="dxa"/>
          </w:tcPr>
          <w:p w:rsidR="00C07943" w:rsidRDefault="00C07943" w:rsidP="00D67261">
            <w:r>
              <w:t>Estate, homestead, orchard, ranch, farmstead, hacienda, vineyard</w:t>
            </w:r>
          </w:p>
        </w:tc>
      </w:tr>
      <w:tr w:rsidR="00C07943" w:rsidTr="00D67261">
        <w:tc>
          <w:tcPr>
            <w:tcW w:w="3116" w:type="dxa"/>
          </w:tcPr>
          <w:p w:rsidR="00C07943" w:rsidRDefault="00C07943" w:rsidP="00D67261">
            <w:pPr>
              <w:pStyle w:val="ListParagraph"/>
              <w:numPr>
                <w:ilvl w:val="0"/>
                <w:numId w:val="1"/>
              </w:numPr>
            </w:pPr>
            <w:proofErr w:type="spellStart"/>
            <w:r>
              <w:t>Protegee</w:t>
            </w:r>
            <w:proofErr w:type="spellEnd"/>
          </w:p>
        </w:tc>
        <w:tc>
          <w:tcPr>
            <w:tcW w:w="3117" w:type="dxa"/>
          </w:tcPr>
          <w:p w:rsidR="00C07943" w:rsidRDefault="00C07943" w:rsidP="00D67261">
            <w:r>
              <w:t>A person who is guided and supported by an older and more experienced or influential person</w:t>
            </w:r>
          </w:p>
        </w:tc>
        <w:tc>
          <w:tcPr>
            <w:tcW w:w="3117" w:type="dxa"/>
          </w:tcPr>
          <w:p w:rsidR="00C07943" w:rsidRDefault="00C07943" w:rsidP="00D67261">
            <w:r>
              <w:t>Applicant, buyer, consumer, patient, patron, shopper, believer, chump, dependent, disciple, follower, front, head, mark, purchaser, walk-in, ward</w:t>
            </w:r>
          </w:p>
        </w:tc>
      </w:tr>
      <w:tr w:rsidR="00C07943" w:rsidTr="00D67261">
        <w:tc>
          <w:tcPr>
            <w:tcW w:w="3116" w:type="dxa"/>
          </w:tcPr>
          <w:p w:rsidR="00C07943" w:rsidRDefault="00C07943" w:rsidP="00D67261">
            <w:pPr>
              <w:pStyle w:val="ListParagraph"/>
              <w:numPr>
                <w:ilvl w:val="0"/>
                <w:numId w:val="1"/>
              </w:numPr>
            </w:pPr>
            <w:r>
              <w:t xml:space="preserve">Quinine </w:t>
            </w:r>
          </w:p>
        </w:tc>
        <w:tc>
          <w:tcPr>
            <w:tcW w:w="3117" w:type="dxa"/>
          </w:tcPr>
          <w:p w:rsidR="00C07943" w:rsidRDefault="00C07943" w:rsidP="00D67261">
            <w:r>
              <w:t xml:space="preserve">A bitter crystalline compound present in cinchona bark, used as a tonic formerly as an antimalarial drug. </w:t>
            </w:r>
          </w:p>
        </w:tc>
        <w:tc>
          <w:tcPr>
            <w:tcW w:w="3117" w:type="dxa"/>
          </w:tcPr>
          <w:p w:rsidR="00C07943" w:rsidRDefault="00C07943" w:rsidP="00D67261">
            <w:r>
              <w:t>Blame, castigation, censure, curse, defamation, derision, hosing, insults, invective, knifing, libel, obloquy, opprobrium, put-down, reproach, revilement, scolding, signifying, slander, swearing, tirade, upbraiding, vilification, vituperation</w:t>
            </w:r>
          </w:p>
        </w:tc>
      </w:tr>
      <w:tr w:rsidR="00C07943" w:rsidTr="00D67261">
        <w:tc>
          <w:tcPr>
            <w:tcW w:w="3116" w:type="dxa"/>
          </w:tcPr>
          <w:p w:rsidR="00C07943" w:rsidRDefault="00C07943" w:rsidP="00D67261">
            <w:pPr>
              <w:pStyle w:val="ListParagraph"/>
              <w:numPr>
                <w:ilvl w:val="0"/>
                <w:numId w:val="1"/>
              </w:numPr>
            </w:pPr>
            <w:r>
              <w:t xml:space="preserve">Possessions </w:t>
            </w:r>
          </w:p>
        </w:tc>
        <w:tc>
          <w:tcPr>
            <w:tcW w:w="3117" w:type="dxa"/>
          </w:tcPr>
          <w:p w:rsidR="00C07943" w:rsidRDefault="00C07943" w:rsidP="00D67261">
            <w:r>
              <w:t>The state of having, owning, or controlling something.</w:t>
            </w:r>
          </w:p>
          <w:p w:rsidR="00C07943" w:rsidRDefault="00C07943" w:rsidP="00D67261">
            <w:r>
              <w:t>Something that is owned or possessed.</w:t>
            </w:r>
          </w:p>
        </w:tc>
        <w:tc>
          <w:tcPr>
            <w:tcW w:w="3117" w:type="dxa"/>
          </w:tcPr>
          <w:p w:rsidR="00C07943" w:rsidRDefault="00C07943" w:rsidP="00D67261">
            <w:r>
              <w:t>Custody, dominion, hold, occupancy, occupation, proprietary, retention, tenancy, tenure, title</w:t>
            </w:r>
          </w:p>
        </w:tc>
      </w:tr>
      <w:tr w:rsidR="00C07943" w:rsidTr="00D67261">
        <w:tc>
          <w:tcPr>
            <w:tcW w:w="3116" w:type="dxa"/>
          </w:tcPr>
          <w:p w:rsidR="00C07943" w:rsidRDefault="00C07943" w:rsidP="00D67261">
            <w:pPr>
              <w:pStyle w:val="ListParagraph"/>
              <w:numPr>
                <w:ilvl w:val="0"/>
                <w:numId w:val="1"/>
              </w:numPr>
            </w:pPr>
            <w:r>
              <w:lastRenderedPageBreak/>
              <w:t xml:space="preserve">Residence </w:t>
            </w:r>
          </w:p>
        </w:tc>
        <w:tc>
          <w:tcPr>
            <w:tcW w:w="3117" w:type="dxa"/>
          </w:tcPr>
          <w:p w:rsidR="00C07943" w:rsidRDefault="00C07943" w:rsidP="00D67261">
            <w:r>
              <w:t>A person’s home, especially a large and impressive one.</w:t>
            </w:r>
          </w:p>
        </w:tc>
        <w:tc>
          <w:tcPr>
            <w:tcW w:w="3117" w:type="dxa"/>
          </w:tcPr>
          <w:p w:rsidR="00C07943" w:rsidRDefault="00C07943" w:rsidP="00D67261">
            <w:r>
              <w:t>Apartment, condo, dwelling, hall, headquarters, home, house, mansion, palace, abode, address, co-op, domicile, habitation, hole, household, inhabitancy, inhabitation, lodging, manor, occupancy, occupation, rack, roof, roost, seat, settlement, villa</w:t>
            </w:r>
          </w:p>
        </w:tc>
      </w:tr>
      <w:tr w:rsidR="00C07943" w:rsidTr="00D67261">
        <w:tc>
          <w:tcPr>
            <w:tcW w:w="3116" w:type="dxa"/>
          </w:tcPr>
          <w:p w:rsidR="00C07943" w:rsidRDefault="00C07943" w:rsidP="00D67261">
            <w:pPr>
              <w:pStyle w:val="ListParagraph"/>
              <w:numPr>
                <w:ilvl w:val="0"/>
                <w:numId w:val="1"/>
              </w:numPr>
            </w:pPr>
            <w:r>
              <w:t xml:space="preserve">Artworks </w:t>
            </w:r>
          </w:p>
        </w:tc>
        <w:tc>
          <w:tcPr>
            <w:tcW w:w="3117" w:type="dxa"/>
          </w:tcPr>
          <w:p w:rsidR="00C07943" w:rsidRDefault="00C07943" w:rsidP="00D67261">
            <w:r>
              <w:t>Illustrations, photographs, or other non-textual material prepared for inclusion in a publication.</w:t>
            </w:r>
          </w:p>
        </w:tc>
        <w:tc>
          <w:tcPr>
            <w:tcW w:w="3117" w:type="dxa"/>
          </w:tcPr>
          <w:p w:rsidR="00C07943" w:rsidRDefault="00C07943" w:rsidP="00D67261">
            <w:r>
              <w:t>Art, artwork, picture, piece, portrait, watercolor, oil</w:t>
            </w:r>
          </w:p>
        </w:tc>
      </w:tr>
      <w:tr w:rsidR="00C07943" w:rsidTr="00D67261">
        <w:tc>
          <w:tcPr>
            <w:tcW w:w="3116" w:type="dxa"/>
          </w:tcPr>
          <w:p w:rsidR="00C07943" w:rsidRDefault="00C07943" w:rsidP="00D67261">
            <w:pPr>
              <w:pStyle w:val="ListParagraph"/>
              <w:numPr>
                <w:ilvl w:val="0"/>
                <w:numId w:val="1"/>
              </w:numPr>
            </w:pPr>
            <w:r>
              <w:t xml:space="preserve">Carved </w:t>
            </w:r>
          </w:p>
        </w:tc>
        <w:tc>
          <w:tcPr>
            <w:tcW w:w="3117" w:type="dxa"/>
          </w:tcPr>
          <w:p w:rsidR="00C07943" w:rsidRDefault="00C07943" w:rsidP="00D67261">
            <w:r>
              <w:t>Cut in order to produce and object, design or inscription.</w:t>
            </w:r>
          </w:p>
        </w:tc>
        <w:tc>
          <w:tcPr>
            <w:tcW w:w="3117" w:type="dxa"/>
          </w:tcPr>
          <w:p w:rsidR="00C07943" w:rsidRDefault="00C07943" w:rsidP="00D67261">
            <w:r>
              <w:t xml:space="preserve">Chiseled, engraved, sculpted, carven, chased, cut, etched, furrowed, graved, graven, grooved, hewed, hewn, modeled, </w:t>
            </w:r>
            <w:proofErr w:type="spellStart"/>
            <w:r>
              <w:t>scissored</w:t>
            </w:r>
            <w:proofErr w:type="spellEnd"/>
            <w:r>
              <w:t>, slashed, sliced, whittled</w:t>
            </w:r>
          </w:p>
        </w:tc>
      </w:tr>
      <w:tr w:rsidR="00C07943" w:rsidTr="00D67261">
        <w:tc>
          <w:tcPr>
            <w:tcW w:w="3116" w:type="dxa"/>
          </w:tcPr>
          <w:p w:rsidR="00C07943" w:rsidRDefault="00C07943" w:rsidP="00D67261">
            <w:pPr>
              <w:pStyle w:val="ListParagraph"/>
              <w:numPr>
                <w:ilvl w:val="0"/>
                <w:numId w:val="1"/>
              </w:numPr>
            </w:pPr>
            <w:r>
              <w:t xml:space="preserve">Tackled </w:t>
            </w:r>
          </w:p>
        </w:tc>
        <w:tc>
          <w:tcPr>
            <w:tcW w:w="3117" w:type="dxa"/>
          </w:tcPr>
          <w:p w:rsidR="00C07943" w:rsidRDefault="00C07943" w:rsidP="00D67261">
            <w:r>
              <w:t>Make determined efforts to deal with ( a problem or difficult task)</w:t>
            </w:r>
          </w:p>
        </w:tc>
        <w:tc>
          <w:tcPr>
            <w:tcW w:w="3117" w:type="dxa"/>
          </w:tcPr>
          <w:p w:rsidR="00C07943" w:rsidRDefault="00C07943" w:rsidP="00D67261">
            <w:r>
              <w:t>Accept, begin, deal with, engage in, take up, try, undertake, work on, attack, attempt, essay, launch</w:t>
            </w:r>
          </w:p>
        </w:tc>
      </w:tr>
      <w:tr w:rsidR="00C07943" w:rsidTr="00D67261">
        <w:tc>
          <w:tcPr>
            <w:tcW w:w="3116" w:type="dxa"/>
          </w:tcPr>
          <w:p w:rsidR="00C07943" w:rsidRDefault="00C07943" w:rsidP="00D67261">
            <w:pPr>
              <w:pStyle w:val="ListParagraph"/>
              <w:numPr>
                <w:ilvl w:val="0"/>
                <w:numId w:val="1"/>
              </w:numPr>
            </w:pPr>
            <w:r>
              <w:t xml:space="preserve">Mahogany </w:t>
            </w:r>
          </w:p>
        </w:tc>
        <w:tc>
          <w:tcPr>
            <w:tcW w:w="3117" w:type="dxa"/>
          </w:tcPr>
          <w:p w:rsidR="00C07943" w:rsidRDefault="00C07943" w:rsidP="00D67261">
            <w:r>
              <w:t>Hard reddish-brown timber from a tropical tree, used for quality furniture.</w:t>
            </w:r>
          </w:p>
          <w:p w:rsidR="00C07943" w:rsidRDefault="00C07943" w:rsidP="00D67261">
            <w:r>
              <w:t>A tropical tree which produces mahogany.</w:t>
            </w:r>
          </w:p>
        </w:tc>
        <w:tc>
          <w:tcPr>
            <w:tcW w:w="3117" w:type="dxa"/>
          </w:tcPr>
          <w:p w:rsidR="00C07943" w:rsidRDefault="00C07943" w:rsidP="00D67261">
            <w:r>
              <w:t xml:space="preserve">Amber, bay, beige, bister, brick, bronze, buff, chestnut, chocolate, cinnamon, </w:t>
            </w:r>
            <w:proofErr w:type="spellStart"/>
            <w:r>
              <w:t>cooca</w:t>
            </w:r>
            <w:proofErr w:type="spellEnd"/>
            <w:r>
              <w:t>, coffee, copper, drab, dust, ecru, fawn, ginger, hazel, henna, khaki, nut, ochre, puce, russet, rust, sepia, sorrel, tan, toast, umber</w:t>
            </w:r>
          </w:p>
        </w:tc>
      </w:tr>
      <w:tr w:rsidR="00C07943" w:rsidTr="00D67261">
        <w:tc>
          <w:tcPr>
            <w:tcW w:w="3116" w:type="dxa"/>
          </w:tcPr>
          <w:p w:rsidR="00C07943" w:rsidRDefault="00C07943" w:rsidP="00D67261">
            <w:pPr>
              <w:pStyle w:val="ListParagraph"/>
              <w:numPr>
                <w:ilvl w:val="0"/>
                <w:numId w:val="1"/>
              </w:numPr>
            </w:pPr>
            <w:r>
              <w:t xml:space="preserve">Tranquil </w:t>
            </w:r>
          </w:p>
        </w:tc>
        <w:tc>
          <w:tcPr>
            <w:tcW w:w="3117" w:type="dxa"/>
          </w:tcPr>
          <w:p w:rsidR="00C07943" w:rsidRDefault="00C07943" w:rsidP="00D67261">
            <w:r>
              <w:t>Free from disturbance; calm</w:t>
            </w:r>
          </w:p>
        </w:tc>
        <w:tc>
          <w:tcPr>
            <w:tcW w:w="3117" w:type="dxa"/>
          </w:tcPr>
          <w:p w:rsidR="00C07943" w:rsidRDefault="00C07943" w:rsidP="00D67261">
            <w:r>
              <w:t>Amicable, balmy, calm, easygoing, gentle, mild, pastoral, placid, restful, sedate, serene, sober, stable, tame, temperate</w:t>
            </w:r>
          </w:p>
        </w:tc>
      </w:tr>
      <w:tr w:rsidR="00C07943" w:rsidTr="00D67261">
        <w:tc>
          <w:tcPr>
            <w:tcW w:w="3116" w:type="dxa"/>
          </w:tcPr>
          <w:p w:rsidR="00C07943" w:rsidRDefault="00C07943" w:rsidP="00D67261">
            <w:pPr>
              <w:pStyle w:val="ListParagraph"/>
              <w:numPr>
                <w:ilvl w:val="0"/>
                <w:numId w:val="1"/>
              </w:numPr>
            </w:pPr>
            <w:r>
              <w:t xml:space="preserve">Intact </w:t>
            </w:r>
          </w:p>
        </w:tc>
        <w:tc>
          <w:tcPr>
            <w:tcW w:w="3117" w:type="dxa"/>
          </w:tcPr>
          <w:p w:rsidR="00C07943" w:rsidRDefault="00C07943" w:rsidP="00D67261">
            <w:r>
              <w:t>Not damaged or impaired in any way; complete</w:t>
            </w:r>
          </w:p>
        </w:tc>
        <w:tc>
          <w:tcPr>
            <w:tcW w:w="3117" w:type="dxa"/>
          </w:tcPr>
          <w:p w:rsidR="00C07943" w:rsidRDefault="00C07943" w:rsidP="00D67261">
            <w:r>
              <w:t>Flawless, perfect, unblemished, unbroken, unharmed, unhurt, unscathed, untouched</w:t>
            </w:r>
          </w:p>
        </w:tc>
      </w:tr>
      <w:tr w:rsidR="00C07943" w:rsidTr="00D67261">
        <w:tc>
          <w:tcPr>
            <w:tcW w:w="3116" w:type="dxa"/>
          </w:tcPr>
          <w:p w:rsidR="00C07943" w:rsidRDefault="00C07943" w:rsidP="00D67261">
            <w:pPr>
              <w:pStyle w:val="ListParagraph"/>
              <w:numPr>
                <w:ilvl w:val="0"/>
                <w:numId w:val="1"/>
              </w:numPr>
            </w:pPr>
            <w:r>
              <w:t xml:space="preserve">Memorial </w:t>
            </w:r>
          </w:p>
        </w:tc>
        <w:tc>
          <w:tcPr>
            <w:tcW w:w="3117" w:type="dxa"/>
          </w:tcPr>
          <w:p w:rsidR="00C07943" w:rsidRDefault="00C07943" w:rsidP="00D67261">
            <w:r>
              <w:t xml:space="preserve">A statue or structure established to remind people of a person or event; a statement of facts, especially as the basis of a petition. </w:t>
            </w:r>
          </w:p>
        </w:tc>
        <w:tc>
          <w:tcPr>
            <w:tcW w:w="3117" w:type="dxa"/>
          </w:tcPr>
          <w:p w:rsidR="00C07943" w:rsidRDefault="00C07943" w:rsidP="00D67261">
            <w:r>
              <w:t xml:space="preserve">Remembering, canonizing, celebrative, commemoratory, consecrating, </w:t>
            </w:r>
            <w:proofErr w:type="spellStart"/>
            <w:r>
              <w:t>consecrative</w:t>
            </w:r>
            <w:proofErr w:type="spellEnd"/>
            <w:r>
              <w:t>, dedicatory, deifying, enshrining, in tribute, memorializing, monumental</w:t>
            </w:r>
          </w:p>
        </w:tc>
      </w:tr>
      <w:tr w:rsidR="00C07943" w:rsidTr="00D67261">
        <w:tc>
          <w:tcPr>
            <w:tcW w:w="3116" w:type="dxa"/>
          </w:tcPr>
          <w:p w:rsidR="00C07943" w:rsidRDefault="00C07943" w:rsidP="00D67261">
            <w:pPr>
              <w:pStyle w:val="ListParagraph"/>
              <w:numPr>
                <w:ilvl w:val="0"/>
                <w:numId w:val="1"/>
              </w:numPr>
            </w:pPr>
            <w:r>
              <w:lastRenderedPageBreak/>
              <w:t>Inadequate</w:t>
            </w:r>
          </w:p>
        </w:tc>
        <w:tc>
          <w:tcPr>
            <w:tcW w:w="3117" w:type="dxa"/>
          </w:tcPr>
          <w:p w:rsidR="00C07943" w:rsidRDefault="00C07943" w:rsidP="00D67261">
            <w:r>
              <w:t>Lacking the quality or quantity required; insufficient for a purpose</w:t>
            </w:r>
          </w:p>
        </w:tc>
        <w:tc>
          <w:tcPr>
            <w:tcW w:w="3117" w:type="dxa"/>
          </w:tcPr>
          <w:p w:rsidR="00C07943" w:rsidRDefault="00C07943" w:rsidP="00D67261">
            <w:r>
              <w:t>Deficient, faulty, incompetent, incomplete, incomplete, lacking, meager, poor, scarce, sketchy, skimpy, unequal, weak</w:t>
            </w:r>
          </w:p>
        </w:tc>
      </w:tr>
      <w:tr w:rsidR="00C07943" w:rsidTr="00D67261">
        <w:tc>
          <w:tcPr>
            <w:tcW w:w="3116" w:type="dxa"/>
          </w:tcPr>
          <w:p w:rsidR="00C07943" w:rsidRDefault="00C07943" w:rsidP="00D67261">
            <w:pPr>
              <w:pStyle w:val="ListParagraph"/>
              <w:numPr>
                <w:ilvl w:val="0"/>
                <w:numId w:val="1"/>
              </w:numPr>
            </w:pPr>
            <w:r>
              <w:t xml:space="preserve">Unkempt </w:t>
            </w:r>
          </w:p>
        </w:tc>
        <w:tc>
          <w:tcPr>
            <w:tcW w:w="3117" w:type="dxa"/>
          </w:tcPr>
          <w:p w:rsidR="00C07943" w:rsidRDefault="00C07943" w:rsidP="00D67261">
            <w:r>
              <w:t>Having an untidy or disheveled appearance.</w:t>
            </w:r>
          </w:p>
        </w:tc>
        <w:tc>
          <w:tcPr>
            <w:tcW w:w="3117" w:type="dxa"/>
          </w:tcPr>
          <w:p w:rsidR="00C07943" w:rsidRDefault="00C07943" w:rsidP="00D67261">
            <w:r>
              <w:t>Bedraggled, dilapidated, disheveled, grubby, grungy, messy, neglected, rumpled, scruffy, shaggy.</w:t>
            </w:r>
          </w:p>
        </w:tc>
      </w:tr>
    </w:tbl>
    <w:p w:rsidR="00C07943" w:rsidRDefault="00C07943" w:rsidP="00C07943"/>
    <w:p w:rsidR="00A25790" w:rsidRDefault="00C07943">
      <w:bookmarkStart w:id="0" w:name="_GoBack"/>
      <w:bookmarkEnd w:id="0"/>
    </w:p>
    <w:sectPr w:rsidR="00A2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AEA"/>
    <w:multiLevelType w:val="hybridMultilevel"/>
    <w:tmpl w:val="3AC4D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43"/>
    <w:rsid w:val="00A46BF2"/>
    <w:rsid w:val="00C07943"/>
    <w:rsid w:val="00EB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D2CC5-55A3-4DE0-A952-A42F58AA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79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9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07943"/>
  </w:style>
  <w:style w:type="character" w:styleId="Emphasis">
    <w:name w:val="Emphasis"/>
    <w:basedOn w:val="DefaultParagraphFont"/>
    <w:uiPriority w:val="20"/>
    <w:qFormat/>
    <w:rsid w:val="00C07943"/>
    <w:rPr>
      <w:i/>
      <w:iCs/>
    </w:rPr>
  </w:style>
  <w:style w:type="character" w:styleId="Strong">
    <w:name w:val="Strong"/>
    <w:basedOn w:val="DefaultParagraphFont"/>
    <w:uiPriority w:val="22"/>
    <w:qFormat/>
    <w:rsid w:val="00C07943"/>
    <w:rPr>
      <w:b/>
      <w:bCs/>
    </w:rPr>
  </w:style>
  <w:style w:type="table" w:styleId="TableGrid">
    <w:name w:val="Table Grid"/>
    <w:basedOn w:val="TableNormal"/>
    <w:uiPriority w:val="39"/>
    <w:rsid w:val="00C0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7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562613">
      <w:bodyDiv w:val="1"/>
      <w:marLeft w:val="0"/>
      <w:marRight w:val="0"/>
      <w:marTop w:val="0"/>
      <w:marBottom w:val="0"/>
      <w:divBdr>
        <w:top w:val="none" w:sz="0" w:space="0" w:color="auto"/>
        <w:left w:val="none" w:sz="0" w:space="0" w:color="auto"/>
        <w:bottom w:val="none" w:sz="0" w:space="0" w:color="auto"/>
        <w:right w:val="none" w:sz="0" w:space="0" w:color="auto"/>
      </w:divBdr>
      <w:divsChild>
        <w:div w:id="1833182825">
          <w:marLeft w:val="0"/>
          <w:marRight w:val="0"/>
          <w:marTop w:val="240"/>
          <w:marBottom w:val="240"/>
          <w:divBdr>
            <w:top w:val="none" w:sz="0" w:space="0" w:color="auto"/>
            <w:left w:val="none" w:sz="0" w:space="0" w:color="auto"/>
            <w:bottom w:val="none" w:sz="0" w:space="0" w:color="auto"/>
            <w:right w:val="none" w:sz="0" w:space="0" w:color="auto"/>
          </w:divBdr>
        </w:div>
        <w:div w:id="250628167">
          <w:marLeft w:val="0"/>
          <w:marRight w:val="0"/>
          <w:marTop w:val="240"/>
          <w:marBottom w:val="240"/>
          <w:divBdr>
            <w:top w:val="none" w:sz="0" w:space="0" w:color="auto"/>
            <w:left w:val="none" w:sz="0" w:space="0" w:color="auto"/>
            <w:bottom w:val="none" w:sz="0" w:space="0" w:color="auto"/>
            <w:right w:val="none" w:sz="0" w:space="0" w:color="auto"/>
          </w:divBdr>
        </w:div>
        <w:div w:id="181718696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5136</Characters>
  <Application>Microsoft Office Word</Application>
  <DocSecurity>0</DocSecurity>
  <Lines>42</Lines>
  <Paragraphs>12</Paragraphs>
  <ScaleCrop>false</ScaleCrop>
  <Company>Infosys</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Avantika Joshi</dc:creator>
  <cp:keywords/>
  <dc:description/>
  <cp:lastModifiedBy>Avantika Joshi</cp:lastModifiedBy>
  <cp:revision>1</cp:revision>
  <dcterms:created xsi:type="dcterms:W3CDTF">2016-07-10T13:29:00Z</dcterms:created>
  <dcterms:modified xsi:type="dcterms:W3CDTF">2016-07-10T13:30:00Z</dcterms:modified>
</cp:coreProperties>
</file>