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4" w:rsidRPr="00353164" w:rsidRDefault="00353164" w:rsidP="00353164">
      <w:pPr>
        <w:spacing w:before="192" w:after="192" w:line="365" w:lineRule="atLeast"/>
        <w:rPr>
          <w:rFonts w:ascii="Verdana" w:eastAsia="Times New Roman" w:hAnsi="Verdana" w:cs="Times New Roman"/>
          <w:color w:val="111111"/>
          <w:sz w:val="23"/>
          <w:szCs w:val="23"/>
        </w:rPr>
      </w:pP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Toy trains,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excellent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tea, and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impressive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views of four of the world’s highest peaks. Darjeeling’s trademark charms are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surpassed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only by the niceness of its people, found wildlife photographer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Dhritiman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Mukherjee and Bollywood composer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Shantanu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on the West Bengal leg of their #100DaysInHimalayas project. Between February and December 2016, the duo will make a series of trips in the Himalayas covering reaches running from Kashmir to Arunachal Pradesh, and into the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neighbouring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foothills of Nepal and Bhutan—and they’re taking 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 xml:space="preserve">National Geographic </w:t>
      </w:r>
      <w:proofErr w:type="spellStart"/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Traveller</w:t>
      </w:r>
      <w:proofErr w:type="spellEnd"/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 xml:space="preserve"> India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 along for the ride. Their latest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dispatch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is from Darjeeling. For centuries, the cool hill station at the foothills of the Himalayas, has been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favoured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as a health resort for its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brisk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weather, first by the British, and then by tourists across India and the world. It’s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predictably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lovely and laid-back, except on some days as this twosome found out.</w:t>
      </w:r>
    </w:p>
    <w:p w:rsidR="00353164" w:rsidRPr="00353164" w:rsidRDefault="00353164" w:rsidP="00353164">
      <w:pPr>
        <w:spacing w:before="288" w:after="72" w:line="240" w:lineRule="atLeast"/>
        <w:outlineLvl w:val="2"/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</w:pPr>
      <w:r w:rsidRPr="00353164"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  <w:t>Ice, Ice, Baby</w:t>
      </w:r>
    </w:p>
    <w:p w:rsidR="00353164" w:rsidRPr="00353164" w:rsidRDefault="00353164" w:rsidP="00353164">
      <w:pPr>
        <w:spacing w:line="365" w:lineRule="atLeast"/>
        <w:jc w:val="center"/>
        <w:rPr>
          <w:rFonts w:ascii="Verdana" w:eastAsia="Times New Roman" w:hAnsi="Verdana" w:cs="Times New Roman"/>
          <w:color w:val="111111"/>
          <w:sz w:val="23"/>
          <w:szCs w:val="23"/>
        </w:rPr>
      </w:pP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 </w:t>
      </w:r>
    </w:p>
    <w:p w:rsidR="00353164" w:rsidRPr="00353164" w:rsidRDefault="00353164" w:rsidP="00353164">
      <w:pPr>
        <w:spacing w:before="192" w:after="192" w:line="365" w:lineRule="atLeast"/>
        <w:rPr>
          <w:rFonts w:ascii="Verdana" w:eastAsia="Times New Roman" w:hAnsi="Verdana" w:cs="Times New Roman"/>
          <w:color w:val="111111"/>
          <w:sz w:val="23"/>
          <w:szCs w:val="23"/>
        </w:rPr>
      </w:pP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When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and Mukherjee visited, Darjeeling was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reeling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from an unexpected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hailstorm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that caused an hours-long traffic jam. “It was white, covered in 3-inch ice,” said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. As soon as they checked into the hotel,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recalled, “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Dhritiman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said it’s time to take photos now.” The hail had dented cars and smashed holes in roofs and windows. “That’s the difference between us,”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says. “I say, ‘There’s chaos outside, let’s stay in.’”</w:t>
      </w:r>
    </w:p>
    <w:p w:rsidR="00353164" w:rsidRPr="00353164" w:rsidRDefault="00353164" w:rsidP="00353164">
      <w:pPr>
        <w:spacing w:before="192" w:after="192" w:line="365" w:lineRule="atLeast"/>
        <w:rPr>
          <w:rFonts w:ascii="Verdana" w:eastAsia="Times New Roman" w:hAnsi="Verdana" w:cs="Times New Roman"/>
          <w:color w:val="111111"/>
          <w:sz w:val="23"/>
          <w:szCs w:val="23"/>
        </w:rPr>
      </w:pP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Outside, they found a town making the most of the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bizarre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weather. Life was at a standstill and people were playing with the ice in the streets. It was lovely but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Dhritiman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was surprised with the number of international food-chain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outlets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. “The Mall Road now has CCD and KFC,” he said. At the very least, they should “blend with local culture; use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Lepcha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- or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Gurkha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-style design for the interiors.”</w:t>
      </w:r>
    </w:p>
    <w:p w:rsidR="00353164" w:rsidRPr="00353164" w:rsidRDefault="00353164" w:rsidP="00353164">
      <w:pPr>
        <w:spacing w:before="288" w:after="72" w:line="240" w:lineRule="atLeast"/>
        <w:outlineLvl w:val="2"/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</w:pPr>
      <w:r w:rsidRPr="00353164"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  <w:t xml:space="preserve">Hitting </w:t>
      </w:r>
      <w:proofErr w:type="gramStart"/>
      <w:r w:rsidRPr="00353164"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  <w:t>The</w:t>
      </w:r>
      <w:proofErr w:type="gramEnd"/>
      <w:r w:rsidRPr="00353164"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  <w:t xml:space="preserve"> Right Note</w:t>
      </w:r>
    </w:p>
    <w:p w:rsidR="00353164" w:rsidRPr="00353164" w:rsidRDefault="00353164" w:rsidP="00353164">
      <w:pPr>
        <w:spacing w:before="192" w:after="192" w:line="365" w:lineRule="atLeast"/>
        <w:rPr>
          <w:rFonts w:ascii="Verdana" w:eastAsia="Times New Roman" w:hAnsi="Verdana" w:cs="Times New Roman"/>
          <w:color w:val="111111"/>
          <w:sz w:val="23"/>
          <w:szCs w:val="23"/>
        </w:rPr>
      </w:pP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For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, each place they visited came alive with the locals they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encountered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, and the stories they had to tell. At their colonial-era stay Cochrane Place in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Kurseong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—famous for birding and tea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estates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such as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lastRenderedPageBreak/>
        <w:t>Makaibari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—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discovered that the hotel’s singer honed his craft on the road. A taxi driver by day with dreams of being a musician, the singer picked up playing the guitar from his church group, bought his instrument at a pawnshop, and expanded his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repertoire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by asking the Indian and international tourists he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ferried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daily to play their songs off the car speaker. “I suddenly remembered my college days, when I was not trained in music but I just enjoyed singing,” said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. He was so impressed that he made a recording of the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musician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before leaving.</w:t>
      </w:r>
    </w:p>
    <w:p w:rsidR="00353164" w:rsidRPr="00353164" w:rsidRDefault="00353164" w:rsidP="00353164">
      <w:pPr>
        <w:spacing w:before="288" w:after="72" w:line="240" w:lineRule="atLeast"/>
        <w:outlineLvl w:val="2"/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</w:pPr>
      <w:r w:rsidRPr="00353164"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  <w:t xml:space="preserve">A World </w:t>
      </w:r>
      <w:proofErr w:type="gramStart"/>
      <w:r w:rsidRPr="00353164"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  <w:t>Without</w:t>
      </w:r>
      <w:proofErr w:type="gramEnd"/>
      <w:r w:rsidRPr="00353164"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  <w:t xml:space="preserve"> Pandas</w:t>
      </w:r>
    </w:p>
    <w:p w:rsidR="00353164" w:rsidRPr="00353164" w:rsidRDefault="00353164" w:rsidP="00353164">
      <w:pPr>
        <w:spacing w:before="192" w:after="192" w:line="365" w:lineRule="atLeast"/>
        <w:rPr>
          <w:rFonts w:ascii="Verdana" w:eastAsia="Times New Roman" w:hAnsi="Verdana" w:cs="Times New Roman"/>
          <w:color w:val="111111"/>
          <w:sz w:val="23"/>
          <w:szCs w:val="23"/>
        </w:rPr>
      </w:pP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En route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to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Sandakphu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, West Bengal’s highest point, they met a tea-stall owner in his early 30s, who was involved in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conservation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efforts for the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endangered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red panda,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native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to the Himalayan forests of this region. The high school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graduate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had moved to Dubai to fund his kid’s education but returned two years later when he “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realised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that family is more important than money,”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said. Deciding that he could just as easily put in the taxing 16-hour work days to develop his village, he started conservation work and joined in community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initiatives</w:t>
      </w:r>
      <w:r w:rsidRPr="00353164">
        <w:rPr>
          <w:rFonts w:ascii="Verdana" w:eastAsia="Times New Roman" w:hAnsi="Verdana" w:cs="Times New Roman"/>
          <w:b/>
          <w:b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such as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coaxing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locals to keep off alcohol and save up for solar panels to help their kids study at night.</w:t>
      </w:r>
    </w:p>
    <w:p w:rsidR="00353164" w:rsidRPr="00353164" w:rsidRDefault="00353164" w:rsidP="00353164">
      <w:pPr>
        <w:spacing w:before="288" w:after="72" w:line="240" w:lineRule="atLeast"/>
        <w:outlineLvl w:val="2"/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</w:pPr>
      <w:r w:rsidRPr="00353164">
        <w:rPr>
          <w:rFonts w:ascii="Verdana" w:eastAsia="Times New Roman" w:hAnsi="Verdana" w:cs="Times New Roman"/>
          <w:b/>
          <w:bCs/>
          <w:color w:val="222222"/>
          <w:sz w:val="36"/>
          <w:szCs w:val="36"/>
        </w:rPr>
        <w:t>Mountain Lessons</w:t>
      </w:r>
    </w:p>
    <w:p w:rsidR="00353164" w:rsidRPr="00353164" w:rsidRDefault="00353164" w:rsidP="00353164">
      <w:pPr>
        <w:spacing w:before="192" w:after="192" w:line="365" w:lineRule="atLeast"/>
        <w:rPr>
          <w:rFonts w:ascii="Verdana" w:eastAsia="Times New Roman" w:hAnsi="Verdana" w:cs="Times New Roman"/>
          <w:color w:val="111111"/>
          <w:sz w:val="23"/>
          <w:szCs w:val="23"/>
        </w:rPr>
      </w:pP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On their return from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Sandakphu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,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and Mukherjee shared their jeep with a father and his sick child whose smiles and conversation showed no sign of the </w:t>
      </w:r>
      <w:proofErr w:type="spellStart"/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gruelling</w:t>
      </w:r>
      <w:proofErr w:type="spellEnd"/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ride and the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desperation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at the remote access to a hospital. “The Himalayas have a really surprising happiness quotient,”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 said, who puts it down to the local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philosophy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: not to fight the elements but accept life as it comes. “The Himalayas teach me to stop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complaining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, and life will be better.”</w:t>
      </w:r>
    </w:p>
    <w:p w:rsidR="00353164" w:rsidRPr="00353164" w:rsidRDefault="00353164" w:rsidP="00353164">
      <w:pPr>
        <w:spacing w:before="192" w:after="192" w:line="365" w:lineRule="atLeast"/>
        <w:rPr>
          <w:rFonts w:ascii="Verdana" w:eastAsia="Times New Roman" w:hAnsi="Verdana" w:cs="Times New Roman"/>
          <w:color w:val="111111"/>
          <w:sz w:val="23"/>
          <w:szCs w:val="23"/>
        </w:rPr>
      </w:pP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 xml:space="preserve">Keep posted for updates from Mukherjee and </w:t>
      </w:r>
      <w:proofErr w:type="spellStart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Moitra</w:t>
      </w:r>
      <w:proofErr w:type="spellEnd"/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, as this mountain </w:t>
      </w:r>
      <w:proofErr w:type="spellStart"/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bromance</w:t>
      </w:r>
      <w:proofErr w:type="spellEnd"/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yields stunning photos of the Himalayas’ stark beauty, and stories of its </w:t>
      </w:r>
      <w:r w:rsidRPr="00353164">
        <w:rPr>
          <w:rFonts w:ascii="Verdana" w:eastAsia="Times New Roman" w:hAnsi="Verdana" w:cs="Times New Roman"/>
          <w:b/>
          <w:bCs/>
          <w:i/>
          <w:iCs/>
          <w:color w:val="111111"/>
          <w:sz w:val="23"/>
          <w:szCs w:val="23"/>
        </w:rPr>
        <w:t>charming</w:t>
      </w:r>
      <w:r w:rsidRPr="00353164">
        <w:rPr>
          <w:rFonts w:ascii="Verdana" w:eastAsia="Times New Roman" w:hAnsi="Verdana" w:cs="Times New Roman"/>
          <w:i/>
          <w:iCs/>
          <w:color w:val="111111"/>
          <w:sz w:val="23"/>
          <w:szCs w:val="23"/>
        </w:rPr>
        <w:t> </w:t>
      </w:r>
      <w:r w:rsidRPr="00353164">
        <w:rPr>
          <w:rFonts w:ascii="Verdana" w:eastAsia="Times New Roman" w:hAnsi="Verdana" w:cs="Times New Roman"/>
          <w:color w:val="111111"/>
          <w:sz w:val="23"/>
          <w:szCs w:val="23"/>
        </w:rPr>
        <w:t>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3164" w:rsidTr="0053341E">
        <w:tc>
          <w:tcPr>
            <w:tcW w:w="3116" w:type="dxa"/>
          </w:tcPr>
          <w:p w:rsidR="00353164" w:rsidRDefault="00353164" w:rsidP="0053341E">
            <w:r>
              <w:t>WORD</w:t>
            </w:r>
          </w:p>
        </w:tc>
        <w:tc>
          <w:tcPr>
            <w:tcW w:w="3117" w:type="dxa"/>
          </w:tcPr>
          <w:p w:rsidR="00353164" w:rsidRDefault="00353164" w:rsidP="0053341E">
            <w:r>
              <w:t>MEANING</w:t>
            </w:r>
          </w:p>
        </w:tc>
        <w:tc>
          <w:tcPr>
            <w:tcW w:w="3117" w:type="dxa"/>
          </w:tcPr>
          <w:p w:rsidR="00353164" w:rsidRDefault="00353164" w:rsidP="0053341E">
            <w:r>
              <w:t>SYNONYM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Excellent</w:t>
            </w:r>
          </w:p>
        </w:tc>
        <w:tc>
          <w:tcPr>
            <w:tcW w:w="3117" w:type="dxa"/>
          </w:tcPr>
          <w:p w:rsidR="00353164" w:rsidRDefault="00353164" w:rsidP="0053341E">
            <w:r>
              <w:t>Extremely good; outstanding</w:t>
            </w:r>
          </w:p>
        </w:tc>
        <w:tc>
          <w:tcPr>
            <w:tcW w:w="3117" w:type="dxa"/>
          </w:tcPr>
          <w:p w:rsidR="00353164" w:rsidRDefault="00353164" w:rsidP="0053341E">
            <w:r>
              <w:t xml:space="preserve">Accomplished, admirable, attractive, distinguished, </w:t>
            </w:r>
            <w:r>
              <w:lastRenderedPageBreak/>
              <w:t>exceptional, exemplary, exquisite, fine, finest, first-rate, good, great, magnificent, outstanding, skillful, sterling, superb, superlative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Impressive</w:t>
            </w:r>
          </w:p>
        </w:tc>
        <w:tc>
          <w:tcPr>
            <w:tcW w:w="3117" w:type="dxa"/>
          </w:tcPr>
          <w:p w:rsidR="00353164" w:rsidRDefault="00353164" w:rsidP="0053341E">
            <w:r>
              <w:t>Evoking admiration through size, quality or skill; grand, imposing or awesome.</w:t>
            </w:r>
          </w:p>
        </w:tc>
        <w:tc>
          <w:tcPr>
            <w:tcW w:w="3117" w:type="dxa"/>
          </w:tcPr>
          <w:p w:rsidR="00353164" w:rsidRDefault="00353164" w:rsidP="0053341E">
            <w:r>
              <w:t>Dramatic, exciting, extraordinary, important, imposing, intense, massive, monumental, notable, profound, remarkable, splendid, superb, thrilling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Surpassed</w:t>
            </w:r>
          </w:p>
        </w:tc>
        <w:tc>
          <w:tcPr>
            <w:tcW w:w="3117" w:type="dxa"/>
          </w:tcPr>
          <w:p w:rsidR="00353164" w:rsidRDefault="00353164" w:rsidP="0053341E">
            <w:r>
              <w:t>Exceed; be greater than</w:t>
            </w:r>
          </w:p>
        </w:tc>
        <w:tc>
          <w:tcPr>
            <w:tcW w:w="3117" w:type="dxa"/>
          </w:tcPr>
          <w:p w:rsidR="00353164" w:rsidRDefault="00353164" w:rsidP="0053341E">
            <w:r>
              <w:t>Beat, eclipse, exceed, outpace, outperform, outstrip, outweigh, pass, rank, top, best, better, cap, excel, outdistance, outgo, outmatch, outrank, outrival, outrun, outshine, override, overshadow, overstep, surmount, tower, transcend, trump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dispatch</w:t>
            </w:r>
          </w:p>
        </w:tc>
        <w:tc>
          <w:tcPr>
            <w:tcW w:w="3117" w:type="dxa"/>
          </w:tcPr>
          <w:p w:rsidR="00353164" w:rsidRDefault="00353164" w:rsidP="0053341E">
            <w:r>
              <w:t>Send off to a destination or for a purpose</w:t>
            </w:r>
          </w:p>
        </w:tc>
        <w:tc>
          <w:tcPr>
            <w:tcW w:w="3117" w:type="dxa"/>
          </w:tcPr>
          <w:p w:rsidR="00353164" w:rsidRDefault="00353164" w:rsidP="0053341E">
            <w:r>
              <w:t>Alacrity, celerity, expedition, expeditiousness, haste, hurry, hustle, precipitateness, promptitude, promptness, quickness, rapidity, rustle, speediness, swiftness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 xml:space="preserve">brisk </w:t>
            </w:r>
          </w:p>
        </w:tc>
        <w:tc>
          <w:tcPr>
            <w:tcW w:w="3117" w:type="dxa"/>
          </w:tcPr>
          <w:p w:rsidR="00353164" w:rsidRDefault="00353164" w:rsidP="0053341E">
            <w:r>
              <w:t>Active and energetic</w:t>
            </w:r>
          </w:p>
        </w:tc>
        <w:tc>
          <w:tcPr>
            <w:tcW w:w="3117" w:type="dxa"/>
          </w:tcPr>
          <w:p w:rsidR="00353164" w:rsidRDefault="00353164" w:rsidP="0053341E">
            <w:r>
              <w:t>Energetic, lively, quick, speedy, spry, vigorous, alert, animated, bustling, busy, adroit, agile, nimble, sprightly, vivacious, zippy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predictably</w:t>
            </w:r>
          </w:p>
        </w:tc>
        <w:tc>
          <w:tcPr>
            <w:tcW w:w="3117" w:type="dxa"/>
          </w:tcPr>
          <w:p w:rsidR="00353164" w:rsidRDefault="00353164" w:rsidP="0053341E">
            <w:r>
              <w:t>Anything that you can see or know before it happens</w:t>
            </w:r>
          </w:p>
        </w:tc>
        <w:tc>
          <w:tcPr>
            <w:tcW w:w="3117" w:type="dxa"/>
          </w:tcPr>
          <w:p w:rsidR="00353164" w:rsidRDefault="00353164" w:rsidP="0053341E">
            <w:r>
              <w:t>Certain, anticipated, calculable, expected, foreseeable, foreseen, likely, prepared, sure, sure-fire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 xml:space="preserve">reeling </w:t>
            </w:r>
          </w:p>
        </w:tc>
        <w:tc>
          <w:tcPr>
            <w:tcW w:w="3117" w:type="dxa"/>
          </w:tcPr>
          <w:p w:rsidR="00353164" w:rsidRDefault="00353164" w:rsidP="0053341E">
            <w:r>
              <w:t>Wind something on to a reel by turning the reel.</w:t>
            </w:r>
          </w:p>
          <w:p w:rsidR="00353164" w:rsidRDefault="00353164" w:rsidP="0053341E">
            <w:r>
              <w:t>Lose one’s balance and stagger or lurch violently</w:t>
            </w:r>
          </w:p>
        </w:tc>
        <w:tc>
          <w:tcPr>
            <w:tcW w:w="3117" w:type="dxa"/>
          </w:tcPr>
          <w:p w:rsidR="00353164" w:rsidRDefault="00353164" w:rsidP="0053341E">
            <w:r>
              <w:t>Addled, befuddled, bemused, bewildered, blind, blinded, dazed, dazzled, distracted, disturbed, dumbfounded, faint, light, muddled, puzzled, staggered, swimming, upset, whirling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 xml:space="preserve">hailstorm </w:t>
            </w:r>
          </w:p>
        </w:tc>
        <w:tc>
          <w:tcPr>
            <w:tcW w:w="3117" w:type="dxa"/>
          </w:tcPr>
          <w:p w:rsidR="00353164" w:rsidRDefault="00353164" w:rsidP="0053341E">
            <w:r>
              <w:t>A storm of heavy hail</w:t>
            </w:r>
          </w:p>
        </w:tc>
        <w:tc>
          <w:tcPr>
            <w:tcW w:w="3117" w:type="dxa"/>
          </w:tcPr>
          <w:p w:rsidR="00353164" w:rsidRDefault="00353164" w:rsidP="0053341E">
            <w:r>
              <w:t>Barrage, bombardment, rain, salvo, shower, storm, volley, broadside, cannonade, pelting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 xml:space="preserve">bizarre </w:t>
            </w:r>
          </w:p>
        </w:tc>
        <w:tc>
          <w:tcPr>
            <w:tcW w:w="3117" w:type="dxa"/>
          </w:tcPr>
          <w:p w:rsidR="00353164" w:rsidRDefault="00353164" w:rsidP="0053341E">
            <w:r>
              <w:t>Very strange or unusual</w:t>
            </w:r>
          </w:p>
        </w:tc>
        <w:tc>
          <w:tcPr>
            <w:tcW w:w="3117" w:type="dxa"/>
          </w:tcPr>
          <w:p w:rsidR="00353164" w:rsidRDefault="00353164" w:rsidP="0053341E">
            <w:r>
              <w:t xml:space="preserve">Comical, curious, extraordinary, fantastic, freakish, grotesque, </w:t>
            </w:r>
            <w:r>
              <w:lastRenderedPageBreak/>
              <w:t>ludicrous, odd, offbeat, outlandish, peculiar, ridiculous, unusual, weird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outlets </w:t>
            </w:r>
          </w:p>
        </w:tc>
        <w:tc>
          <w:tcPr>
            <w:tcW w:w="3117" w:type="dxa"/>
          </w:tcPr>
          <w:p w:rsidR="00353164" w:rsidRDefault="00353164" w:rsidP="0053341E">
            <w:r>
              <w:t>A pipe or hole through which water or gas may escape;</w:t>
            </w:r>
          </w:p>
          <w:p w:rsidR="00353164" w:rsidRDefault="00353164" w:rsidP="0053341E"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point from which goods are sold or distributed.</w:t>
            </w:r>
          </w:p>
        </w:tc>
        <w:tc>
          <w:tcPr>
            <w:tcW w:w="3117" w:type="dxa"/>
          </w:tcPr>
          <w:p w:rsidR="00353164" w:rsidRDefault="00353164" w:rsidP="0053341E">
            <w:r>
              <w:t>Channel, aperture, avenue, break, crack, duct, egress, escape, exit, hole, nozzle, opening, orifice, porthole, release, spout, tear, vent, safety valve, way out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 xml:space="preserve">encountered </w:t>
            </w:r>
          </w:p>
        </w:tc>
        <w:tc>
          <w:tcPr>
            <w:tcW w:w="3117" w:type="dxa"/>
          </w:tcPr>
          <w:p w:rsidR="00353164" w:rsidRDefault="00353164" w:rsidP="0053341E">
            <w:r>
              <w:t>Unexpectedly be faced with or experience; meet someone unexpectedly</w:t>
            </w:r>
          </w:p>
        </w:tc>
        <w:tc>
          <w:tcPr>
            <w:tcW w:w="3117" w:type="dxa"/>
          </w:tcPr>
          <w:p w:rsidR="00353164" w:rsidRDefault="00353164" w:rsidP="0053341E">
            <w:r>
              <w:t>Bear, bump into, come across, come upon, confront, detect, experience, face, find, meet, run into, suffer, turn up, close, descry, espy, front, sustain, undergo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 xml:space="preserve">estates </w:t>
            </w:r>
          </w:p>
        </w:tc>
        <w:tc>
          <w:tcPr>
            <w:tcW w:w="3117" w:type="dxa"/>
          </w:tcPr>
          <w:p w:rsidR="00353164" w:rsidRDefault="00353164" w:rsidP="0053341E">
            <w:r>
              <w:t>An area or amount of land or property, in particular</w:t>
            </w:r>
          </w:p>
        </w:tc>
        <w:tc>
          <w:tcPr>
            <w:tcW w:w="3117" w:type="dxa"/>
          </w:tcPr>
          <w:p w:rsidR="00353164" w:rsidRDefault="00353164" w:rsidP="0053341E">
            <w:r>
              <w:t>Area, farm, parcel, plantation, ranch, residence, acreage, demesne, domain, dominion, freehold, grounds, holdings, territory, villa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 xml:space="preserve">repertoire </w:t>
            </w:r>
          </w:p>
        </w:tc>
        <w:tc>
          <w:tcPr>
            <w:tcW w:w="3117" w:type="dxa"/>
          </w:tcPr>
          <w:p w:rsidR="00353164" w:rsidRDefault="00353164" w:rsidP="0053341E">
            <w:r>
              <w:t>A stock of plays, dances, or items that a company or a performer knows or is prepared to perform</w:t>
            </w:r>
          </w:p>
        </w:tc>
        <w:tc>
          <w:tcPr>
            <w:tcW w:w="3117" w:type="dxa"/>
          </w:tcPr>
          <w:p w:rsidR="00353164" w:rsidRDefault="00353164" w:rsidP="0053341E">
            <w:r>
              <w:t>Repertory, range, repository, reserve, stock, stockpile, store, supply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 xml:space="preserve">ferried </w:t>
            </w:r>
          </w:p>
        </w:tc>
        <w:tc>
          <w:tcPr>
            <w:tcW w:w="3117" w:type="dxa"/>
          </w:tcPr>
          <w:p w:rsidR="00353164" w:rsidRDefault="00353164" w:rsidP="0053341E">
            <w:r>
              <w:t>Convey in a ferry or other ship or boat, especially across a short stretch of water</w:t>
            </w:r>
          </w:p>
        </w:tc>
        <w:tc>
          <w:tcPr>
            <w:tcW w:w="3117" w:type="dxa"/>
          </w:tcPr>
          <w:p w:rsidR="00353164" w:rsidRDefault="00353164" w:rsidP="0053341E">
            <w:r>
              <w:t>Carry, chauffeur, lug, send, ship, shuttle, tote, transport, bear, buck ,convey, pack, run, move across, schlepp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 xml:space="preserve">musician </w:t>
            </w:r>
          </w:p>
        </w:tc>
        <w:tc>
          <w:tcPr>
            <w:tcW w:w="3117" w:type="dxa"/>
          </w:tcPr>
          <w:p w:rsidR="00353164" w:rsidRDefault="00353164" w:rsidP="0053341E">
            <w:r>
              <w:t>A person who plays a musical instrument, especially as a profession, or is musically talented.</w:t>
            </w:r>
          </w:p>
        </w:tc>
        <w:tc>
          <w:tcPr>
            <w:tcW w:w="3117" w:type="dxa"/>
          </w:tcPr>
          <w:p w:rsidR="00353164" w:rsidRDefault="00353164" w:rsidP="0053341E">
            <w:r>
              <w:t>Artist, composer, conductor, entertainer, instrumentalist, performer, player, soloist, virtuoso, vocalist, artiste, diva, session player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en route</w:t>
            </w:r>
          </w:p>
        </w:tc>
        <w:tc>
          <w:tcPr>
            <w:tcW w:w="3117" w:type="dxa"/>
          </w:tcPr>
          <w:p w:rsidR="00353164" w:rsidRDefault="00353164" w:rsidP="0053341E">
            <w:r>
              <w:t>During the course of a journey; on the way</w:t>
            </w:r>
          </w:p>
        </w:tc>
        <w:tc>
          <w:tcPr>
            <w:tcW w:w="3117" w:type="dxa"/>
          </w:tcPr>
          <w:p w:rsidR="00353164" w:rsidRDefault="00353164" w:rsidP="0053341E">
            <w:r>
              <w:t>Advancing, along the way, bound, driving, en voyage, entrained, flying, heading toward, in passage, in transit, making headway, midway, on the road, pressing on, progressing, traveling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conservation</w:t>
            </w:r>
          </w:p>
        </w:tc>
        <w:tc>
          <w:tcPr>
            <w:tcW w:w="3117" w:type="dxa"/>
          </w:tcPr>
          <w:p w:rsidR="00353164" w:rsidRDefault="00353164" w:rsidP="0053341E">
            <w:r>
              <w:t>The act of conserving something, in particular</w:t>
            </w:r>
          </w:p>
        </w:tc>
        <w:tc>
          <w:tcPr>
            <w:tcW w:w="3117" w:type="dxa"/>
          </w:tcPr>
          <w:p w:rsidR="00353164" w:rsidRDefault="00353164" w:rsidP="0053341E">
            <w:r>
              <w:t xml:space="preserve">Care, conservancy, control, maintenance, management, protection, supervision, attention, custody, economy, governing, guardianship, keeping, safe keeping, salvation, saving, stewardship, storage, </w:t>
            </w:r>
            <w:r>
              <w:lastRenderedPageBreak/>
              <w:t>supervising, sustentation, upkeep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endangered </w:t>
            </w:r>
          </w:p>
        </w:tc>
        <w:tc>
          <w:tcPr>
            <w:tcW w:w="3117" w:type="dxa"/>
          </w:tcPr>
          <w:p w:rsidR="00353164" w:rsidRDefault="00353164" w:rsidP="0053341E">
            <w:r>
              <w:t>Seriously at a risk of extinction</w:t>
            </w:r>
          </w:p>
        </w:tc>
        <w:tc>
          <w:tcPr>
            <w:tcW w:w="3117" w:type="dxa"/>
          </w:tcPr>
          <w:p w:rsidR="00353164" w:rsidRDefault="00353164" w:rsidP="0053341E">
            <w:r>
              <w:t>Threatened, at risk, facing extinction, in danger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native</w:t>
            </w:r>
          </w:p>
        </w:tc>
        <w:tc>
          <w:tcPr>
            <w:tcW w:w="3117" w:type="dxa"/>
          </w:tcPr>
          <w:p w:rsidR="00353164" w:rsidRDefault="00353164" w:rsidP="0053341E">
            <w:r>
              <w:t>A person born in a specified place or associated with a place by birth, whether subsequently resident there or not.</w:t>
            </w:r>
          </w:p>
        </w:tc>
        <w:tc>
          <w:tcPr>
            <w:tcW w:w="3117" w:type="dxa"/>
          </w:tcPr>
          <w:p w:rsidR="00353164" w:rsidRDefault="00353164" w:rsidP="0053341E">
            <w:r>
              <w:t>Endemic, indigenous, natural, constitutional, essential, fundamental, natal, original, real, wild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graduate</w:t>
            </w:r>
          </w:p>
        </w:tc>
        <w:tc>
          <w:tcPr>
            <w:tcW w:w="3117" w:type="dxa"/>
          </w:tcPr>
          <w:p w:rsidR="00353164" w:rsidRDefault="00353164" w:rsidP="0053341E">
            <w:r>
              <w:t>A person who has successfully completed a course of study or training, especially a person who has been awarded and undergraduate or first academic degree</w:t>
            </w:r>
          </w:p>
        </w:tc>
        <w:tc>
          <w:tcPr>
            <w:tcW w:w="3117" w:type="dxa"/>
          </w:tcPr>
          <w:p w:rsidR="00353164" w:rsidRDefault="00353164" w:rsidP="0053341E">
            <w:r>
              <w:t xml:space="preserve">Alum, alumnus, doctor, grad, recipient, baccalaureate, bachelor, collegian, diplomat, holder, licentiate, master, </w:t>
            </w:r>
            <w:proofErr w:type="spellStart"/>
            <w:r>
              <w:t>Ph.D</w:t>
            </w:r>
            <w:proofErr w:type="spellEnd"/>
            <w:r>
              <w:t>, product, former student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initiatives</w:t>
            </w:r>
          </w:p>
        </w:tc>
        <w:tc>
          <w:tcPr>
            <w:tcW w:w="3117" w:type="dxa"/>
          </w:tcPr>
          <w:p w:rsidR="00353164" w:rsidRDefault="00353164" w:rsidP="0053341E">
            <w:r>
              <w:t>The ability to assess and initiate things independently ;</w:t>
            </w:r>
          </w:p>
          <w:p w:rsidR="00353164" w:rsidRDefault="00353164" w:rsidP="0053341E">
            <w:r>
              <w:t>The power or opportunity to act or take charge before others do.</w:t>
            </w:r>
          </w:p>
        </w:tc>
        <w:tc>
          <w:tcPr>
            <w:tcW w:w="3117" w:type="dxa"/>
          </w:tcPr>
          <w:p w:rsidR="00353164" w:rsidRDefault="00353164" w:rsidP="0053341E">
            <w:r>
              <w:t>Action, drive, leadership, push, ambition, dynamism, energy, enterprise, enthusiasm, get-up-and-go, gumption, inventiveness, moxie, originality, punch, resource, spunk, steam, vigor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coaxing</w:t>
            </w:r>
          </w:p>
        </w:tc>
        <w:tc>
          <w:tcPr>
            <w:tcW w:w="3117" w:type="dxa"/>
          </w:tcPr>
          <w:p w:rsidR="00353164" w:rsidRDefault="00353164" w:rsidP="0053341E">
            <w:r>
              <w:t>Persuade gradually or gently to do something</w:t>
            </w:r>
          </w:p>
        </w:tc>
        <w:tc>
          <w:tcPr>
            <w:tcW w:w="3117" w:type="dxa"/>
          </w:tcPr>
          <w:p w:rsidR="00353164" w:rsidRDefault="00353164" w:rsidP="0053341E">
            <w:r>
              <w:t>Cajole, entice, induce, tease, tempt, wheedle, allure, barter, beguile, blandish, blarney, con, decoy, flatter, get, hook, importune, influence, inveigle, jawbone, lure, pester, plague, press, soft-soap, soothe, sweet-talk, urge, wangle, worm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grueling</w:t>
            </w:r>
          </w:p>
        </w:tc>
        <w:tc>
          <w:tcPr>
            <w:tcW w:w="3117" w:type="dxa"/>
          </w:tcPr>
          <w:p w:rsidR="00353164" w:rsidRDefault="00353164" w:rsidP="0053341E">
            <w:r>
              <w:t>Extremely tiring and demanding</w:t>
            </w:r>
          </w:p>
        </w:tc>
        <w:tc>
          <w:tcPr>
            <w:tcW w:w="3117" w:type="dxa"/>
          </w:tcPr>
          <w:p w:rsidR="00353164" w:rsidRDefault="00353164" w:rsidP="0053341E">
            <w:r>
              <w:t>Arduous, backbreaking, brutal, demanding, excruciating, exhausting, fierce, laborious, punishing, strenuous, tiring, torturous, trying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desperation</w:t>
            </w:r>
          </w:p>
        </w:tc>
        <w:tc>
          <w:tcPr>
            <w:tcW w:w="3117" w:type="dxa"/>
          </w:tcPr>
          <w:p w:rsidR="00353164" w:rsidRDefault="00353164" w:rsidP="0053341E">
            <w:r>
              <w:t xml:space="preserve">A state of despair, typically one which results in rash or extreme behavior </w:t>
            </w:r>
          </w:p>
        </w:tc>
        <w:tc>
          <w:tcPr>
            <w:tcW w:w="3117" w:type="dxa"/>
          </w:tcPr>
          <w:p w:rsidR="00353164" w:rsidRDefault="00353164" w:rsidP="0053341E">
            <w:r>
              <w:t>Agony, anguish, anxiety, desolation, despair, discomfort, fear, gloom, grief, heartache, melancholy, misery, pain, sorrow, unhappiness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>philosophy</w:t>
            </w:r>
          </w:p>
        </w:tc>
        <w:tc>
          <w:tcPr>
            <w:tcW w:w="3117" w:type="dxa"/>
          </w:tcPr>
          <w:p w:rsidR="00353164" w:rsidRDefault="00353164" w:rsidP="0053341E">
            <w:r>
              <w:t>The study of the fundamental nature of knowledge, reality and existence, especially when considered as an academic discipline</w:t>
            </w:r>
          </w:p>
        </w:tc>
        <w:tc>
          <w:tcPr>
            <w:tcW w:w="3117" w:type="dxa"/>
          </w:tcPr>
          <w:p w:rsidR="00353164" w:rsidRDefault="00353164" w:rsidP="0053341E">
            <w:r>
              <w:t xml:space="preserve">Attitude, doctrine, idea, ideology, logic, outlook, reasoning, system, tenet, theory, thinking, thought, truth, view, viewpoint, wisdom, aesthetics, axiom, beliefs, conception, convictions, </w:t>
            </w:r>
            <w:r>
              <w:lastRenderedPageBreak/>
              <w:t>metaphysics, ontology, rationalism, reason, values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complaining</w:t>
            </w:r>
          </w:p>
        </w:tc>
        <w:tc>
          <w:tcPr>
            <w:tcW w:w="3117" w:type="dxa"/>
          </w:tcPr>
          <w:p w:rsidR="00353164" w:rsidRDefault="00353164" w:rsidP="0053341E">
            <w:r>
              <w:t>Express dissatisfaction or annoyance about something</w:t>
            </w:r>
          </w:p>
        </w:tc>
        <w:tc>
          <w:tcPr>
            <w:tcW w:w="3117" w:type="dxa"/>
          </w:tcPr>
          <w:p w:rsidR="00353164" w:rsidRDefault="00353164" w:rsidP="0053341E">
            <w:r>
              <w:t>Grumbling, protesting, whining, accusing, bellyaching, bewailing, charging, deploring, disapproving, discontented, dissenting, fretting, lamenting, moaning, mourning, murmuring, regretting, repining, weeping</w:t>
            </w:r>
          </w:p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bromance</w:t>
            </w:r>
            <w:proofErr w:type="spellEnd"/>
          </w:p>
        </w:tc>
        <w:tc>
          <w:tcPr>
            <w:tcW w:w="3117" w:type="dxa"/>
          </w:tcPr>
          <w:p w:rsidR="00353164" w:rsidRDefault="00353164" w:rsidP="0053341E">
            <w:r>
              <w:t>A close but non-sexual relationship between two men</w:t>
            </w:r>
          </w:p>
        </w:tc>
        <w:tc>
          <w:tcPr>
            <w:tcW w:w="3117" w:type="dxa"/>
          </w:tcPr>
          <w:p w:rsidR="00353164" w:rsidRDefault="00353164" w:rsidP="0053341E"/>
        </w:tc>
      </w:tr>
      <w:tr w:rsidR="00353164" w:rsidTr="0053341E">
        <w:tc>
          <w:tcPr>
            <w:tcW w:w="3116" w:type="dxa"/>
          </w:tcPr>
          <w:p w:rsidR="00353164" w:rsidRDefault="00353164" w:rsidP="0053341E">
            <w:pPr>
              <w:pStyle w:val="ListParagraph"/>
              <w:numPr>
                <w:ilvl w:val="0"/>
                <w:numId w:val="1"/>
              </w:numPr>
            </w:pPr>
            <w:r>
              <w:t xml:space="preserve">charming </w:t>
            </w:r>
          </w:p>
        </w:tc>
        <w:tc>
          <w:tcPr>
            <w:tcW w:w="3117" w:type="dxa"/>
          </w:tcPr>
          <w:p w:rsidR="00353164" w:rsidRDefault="00353164" w:rsidP="0053341E">
            <w:r>
              <w:t>Very pleasant or attractive</w:t>
            </w:r>
          </w:p>
        </w:tc>
        <w:tc>
          <w:tcPr>
            <w:tcW w:w="3117" w:type="dxa"/>
          </w:tcPr>
          <w:p w:rsidR="00353164" w:rsidRDefault="00353164" w:rsidP="0053341E">
            <w:r>
              <w:t>Absorbing, alluring, amiable, appealing, attractive, charismatic, cute, delightful, elegant, engaging, engrossing, fascinating, glamorous, graceful, inviting, likable lovable, lovely ,pleasant, provocative, sweet, bewitching, electrifying, enamoring, enthralling, entrancing, fetching, infatuating, magnetizing, pleasing, ravishing, seducing, tantalizing, tempting, titillating, winning</w:t>
            </w:r>
          </w:p>
        </w:tc>
      </w:tr>
    </w:tbl>
    <w:p w:rsidR="00353164" w:rsidRDefault="00353164" w:rsidP="00353164"/>
    <w:p w:rsidR="00A25790" w:rsidRDefault="00353164">
      <w:bookmarkStart w:id="0" w:name="_GoBack"/>
      <w:bookmarkEnd w:id="0"/>
    </w:p>
    <w:sectPr w:rsidR="00A25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298"/>
    <w:multiLevelType w:val="hybridMultilevel"/>
    <w:tmpl w:val="A00E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4"/>
    <w:rsid w:val="00353164"/>
    <w:rsid w:val="00A46BF2"/>
    <w:rsid w:val="00E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00BD6-51B7-42DB-9261-220D9513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1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3164"/>
  </w:style>
  <w:style w:type="character" w:styleId="Emphasis">
    <w:name w:val="Emphasis"/>
    <w:basedOn w:val="DefaultParagraphFont"/>
    <w:uiPriority w:val="20"/>
    <w:qFormat/>
    <w:rsid w:val="00353164"/>
    <w:rPr>
      <w:i/>
      <w:iCs/>
    </w:rPr>
  </w:style>
  <w:style w:type="character" w:styleId="Strong">
    <w:name w:val="Strong"/>
    <w:basedOn w:val="DefaultParagraphFont"/>
    <w:uiPriority w:val="22"/>
    <w:qFormat/>
    <w:rsid w:val="00353164"/>
    <w:rPr>
      <w:b/>
      <w:bCs/>
    </w:rPr>
  </w:style>
  <w:style w:type="table" w:styleId="TableGrid">
    <w:name w:val="Table Grid"/>
    <w:basedOn w:val="TableNormal"/>
    <w:uiPriority w:val="39"/>
    <w:rsid w:val="0035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8909</Characters>
  <Application>Microsoft Office Word</Application>
  <DocSecurity>0</DocSecurity>
  <Lines>74</Lines>
  <Paragraphs>20</Paragraphs>
  <ScaleCrop>false</ScaleCrop>
  <Company>Infosys</Company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Avantika Joshi</dc:creator>
  <cp:keywords/>
  <dc:description/>
  <cp:lastModifiedBy>Avantika Joshi</cp:lastModifiedBy>
  <cp:revision>1</cp:revision>
  <dcterms:created xsi:type="dcterms:W3CDTF">2016-07-10T10:21:00Z</dcterms:created>
  <dcterms:modified xsi:type="dcterms:W3CDTF">2016-07-10T10:21:00Z</dcterms:modified>
</cp:coreProperties>
</file>